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6AB53593" w14:textId="77777777" w:rsidR="00AE2971" w:rsidRDefault="00AE2971">
      <w:pPr>
        <w:pStyle w:val="Didefault"/>
        <w:rPr>
          <w:rFonts w:ascii="Garamond" w:hAnsi="Garamond" w:cs="Garamond"/>
          <w:iCs/>
          <w:color w:val="CE665F"/>
        </w:rPr>
      </w:pPr>
    </w:p>
    <w:p w14:paraId="44D532E0" w14:textId="77777777" w:rsidR="00AE2971" w:rsidRDefault="00AE2971">
      <w:pPr>
        <w:pStyle w:val="Didefault"/>
        <w:rPr>
          <w:rFonts w:ascii="Garamond" w:hAnsi="Garamond" w:cs="Garamond"/>
          <w:iCs/>
          <w:color w:val="CE665F"/>
        </w:rPr>
      </w:pPr>
    </w:p>
    <w:p w14:paraId="420D997C" w14:textId="77777777" w:rsidR="00AE2971" w:rsidRDefault="00AE2971">
      <w:pPr>
        <w:pStyle w:val="Didefault"/>
        <w:rPr>
          <w:rFonts w:ascii="Garamond" w:hAnsi="Garamond" w:cs="Garamond"/>
          <w:iCs/>
          <w:color w:val="CE665F"/>
        </w:rPr>
      </w:pPr>
    </w:p>
    <w:p w14:paraId="1EC60948" w14:textId="77777777" w:rsidR="00AE2971" w:rsidRDefault="00000000">
      <w:pPr>
        <w:pStyle w:val="Didefault"/>
        <w:rPr>
          <w:rFonts w:asciiTheme="minorHAnsi" w:hAnsiTheme="minorHAnsi" w:cstheme="minorHAnsi"/>
          <w:b/>
          <w:iCs/>
          <w:color w:val="FFA200"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iCs/>
          <w:color w:val="FFA200"/>
          <w:sz w:val="28"/>
          <w:szCs w:val="28"/>
          <w:lang w:val="es-ES"/>
        </w:rPr>
        <w:t>Manual de estilo Chicago: ejemplos</w:t>
      </w:r>
    </w:p>
    <w:p w14:paraId="2E5EE3D4" w14:textId="77777777" w:rsidR="00AE2971" w:rsidRDefault="00000000">
      <w:pPr>
        <w:pStyle w:val="Didefault"/>
        <w:rPr>
          <w:rFonts w:asciiTheme="minorHAnsi" w:hAnsiTheme="minorHAnsi" w:cstheme="minorHAnsi"/>
          <w:iCs/>
          <w:color w:val="auto"/>
          <w:lang w:val="es-ES"/>
        </w:rPr>
      </w:pPr>
      <w:r>
        <w:rPr>
          <w:rFonts w:asciiTheme="minorHAnsi" w:hAnsiTheme="minorHAnsi" w:cstheme="minorHAnsi"/>
          <w:iCs/>
          <w:color w:val="auto"/>
          <w:lang w:val="es-ES"/>
        </w:rPr>
        <w:t>A continuación, se detalla mediante ejemplos cómo citar en nota a pie de página algunas de las referencias más comunes.</w:t>
      </w:r>
    </w:p>
    <w:p w14:paraId="0956F93C" w14:textId="77777777" w:rsidR="00AE2971" w:rsidRDefault="00000000">
      <w:pPr>
        <w:pStyle w:val="Didefault"/>
        <w:rPr>
          <w:rFonts w:asciiTheme="minorHAnsi" w:hAnsiTheme="minorHAnsi" w:cstheme="minorHAnsi"/>
          <w:iCs/>
          <w:color w:val="auto"/>
          <w:lang w:val="es-ES"/>
        </w:rPr>
      </w:pPr>
      <w:r>
        <w:rPr>
          <w:rFonts w:asciiTheme="minorHAnsi" w:hAnsiTheme="minorHAnsi" w:cstheme="minorHAnsi"/>
          <w:iCs/>
          <w:color w:val="auto"/>
          <w:lang w:val="es-ES"/>
        </w:rPr>
        <w:t>Al final de este documento se incluye un epígrafe de notas adicionales aclaratorias.</w:t>
      </w:r>
    </w:p>
    <w:p w14:paraId="68A435A1" w14:textId="77777777" w:rsidR="00AE2971" w:rsidRDefault="00000000">
      <w:pPr>
        <w:pStyle w:val="Didefault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iCs/>
          <w:color w:val="auto"/>
          <w:lang w:val="es-ES"/>
        </w:rPr>
        <w:t xml:space="preserve">Se recuerda que el estilo Chicago prescinde de expresiones como </w:t>
      </w:r>
      <w:r>
        <w:rPr>
          <w:rFonts w:asciiTheme="minorHAnsi" w:hAnsiTheme="minorHAnsi" w:cstheme="minorHAnsi"/>
          <w:i/>
          <w:lang w:val="es-ES"/>
        </w:rPr>
        <w:t>op. cit</w:t>
      </w:r>
      <w:r>
        <w:rPr>
          <w:rFonts w:asciiTheme="minorHAnsi" w:hAnsiTheme="minorHAnsi" w:cstheme="minorHAnsi"/>
          <w:lang w:val="es-ES"/>
        </w:rPr>
        <w:t xml:space="preserve">., </w:t>
      </w:r>
      <w:r>
        <w:rPr>
          <w:rFonts w:asciiTheme="minorHAnsi" w:hAnsiTheme="minorHAnsi" w:cstheme="minorHAnsi"/>
          <w:i/>
          <w:lang w:val="es-ES"/>
        </w:rPr>
        <w:t>id</w:t>
      </w:r>
      <w:r>
        <w:rPr>
          <w:rFonts w:asciiTheme="minorHAnsi" w:hAnsiTheme="minorHAnsi" w:cstheme="minorHAnsi"/>
          <w:lang w:val="es-ES"/>
        </w:rPr>
        <w:t xml:space="preserve">. o </w:t>
      </w:r>
      <w:r>
        <w:rPr>
          <w:rFonts w:asciiTheme="minorHAnsi" w:hAnsiTheme="minorHAnsi" w:cstheme="minorHAnsi"/>
          <w:i/>
          <w:lang w:val="es-ES"/>
        </w:rPr>
        <w:t>ibid</w:t>
      </w:r>
      <w:r>
        <w:rPr>
          <w:rFonts w:asciiTheme="minorHAnsi" w:hAnsiTheme="minorHAnsi" w:cstheme="minorHAnsi"/>
          <w:lang w:val="es-ES"/>
        </w:rPr>
        <w:t xml:space="preserve">., y que, por tanto, es fundamental diferenciar entre la </w:t>
      </w:r>
      <w:r>
        <w:rPr>
          <w:rFonts w:asciiTheme="minorHAnsi" w:hAnsiTheme="minorHAnsi" w:cstheme="minorHAnsi"/>
          <w:i/>
          <w:lang w:val="es-ES"/>
        </w:rPr>
        <w:t>referencia completa</w:t>
      </w:r>
      <w:r>
        <w:rPr>
          <w:rFonts w:asciiTheme="minorHAnsi" w:hAnsiTheme="minorHAnsi" w:cstheme="minorHAnsi"/>
          <w:lang w:val="es-ES"/>
        </w:rPr>
        <w:t xml:space="preserve"> en nota a pie de página (cuando la referencia se escribe por primera vez y contiene toda la información) y la </w:t>
      </w:r>
      <w:r>
        <w:rPr>
          <w:rFonts w:asciiTheme="minorHAnsi" w:hAnsiTheme="minorHAnsi" w:cstheme="minorHAnsi"/>
          <w:i/>
          <w:lang w:val="es-ES"/>
        </w:rPr>
        <w:t>referencia abreviada</w:t>
      </w:r>
      <w:r>
        <w:rPr>
          <w:rFonts w:asciiTheme="minorHAnsi" w:hAnsiTheme="minorHAnsi" w:cstheme="minorHAnsi"/>
          <w:lang w:val="es-ES"/>
        </w:rPr>
        <w:t xml:space="preserve"> en nota a pie de página (cuando la referencia se incluye por segunda, tercera o enésima vez). A ello atienden los siguientes ejemplos.</w:t>
      </w:r>
    </w:p>
    <w:p w14:paraId="7EAA6296" w14:textId="77777777" w:rsidR="00AE2971" w:rsidRDefault="00AE2971">
      <w:pPr>
        <w:pStyle w:val="Didefault"/>
        <w:rPr>
          <w:rFonts w:asciiTheme="minorHAnsi" w:hAnsiTheme="minorHAnsi" w:cstheme="minorHAnsi"/>
          <w:b/>
          <w:iCs/>
          <w:color w:val="C5A95B"/>
        </w:rPr>
      </w:pPr>
    </w:p>
    <w:p w14:paraId="6995136B" w14:textId="77777777" w:rsidR="00AE2971" w:rsidRDefault="00000000">
      <w:pPr>
        <w:pStyle w:val="Didefault"/>
        <w:rPr>
          <w:rFonts w:asciiTheme="minorHAnsi" w:hAnsiTheme="minorHAnsi" w:cstheme="minorHAnsi"/>
          <w:color w:val="auto"/>
          <w:lang w:val="es-ES"/>
        </w:rPr>
      </w:pPr>
      <w:r>
        <w:rPr>
          <w:rFonts w:asciiTheme="minorHAnsi" w:hAnsiTheme="minorHAnsi" w:cstheme="minorHAnsi"/>
          <w:b/>
          <w:iCs/>
          <w:color w:val="auto"/>
        </w:rPr>
        <w:t>Libro con un autor</w:t>
      </w:r>
    </w:p>
    <w:p w14:paraId="1716E48A" w14:textId="77777777" w:rsidR="00AE2971" w:rsidRDefault="00000000">
      <w:pPr>
        <w:pStyle w:val="Prrafodelista"/>
        <w:numPr>
          <w:ilvl w:val="0"/>
          <w:numId w:val="1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644A2E7D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Lluís Duch,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Mito, interpretación y cultura</w:t>
      </w:r>
      <w:r>
        <w:rPr>
          <w:rFonts w:asciiTheme="minorHAnsi" w:hAnsiTheme="minorHAnsi" w:cstheme="minorHAnsi"/>
          <w:sz w:val="22"/>
          <w:szCs w:val="22"/>
          <w:lang w:val="es-ES"/>
        </w:rPr>
        <w:t xml:space="preserve"> (Barcelona: Herder, 1998), 56-58.</w:t>
      </w:r>
    </w:p>
    <w:p w14:paraId="0CE65FA2" w14:textId="77777777" w:rsidR="00AE2971" w:rsidRDefault="00000000">
      <w:pPr>
        <w:pStyle w:val="Prrafodelista"/>
        <w:numPr>
          <w:ilvl w:val="0"/>
          <w:numId w:val="1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7CEF84BE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Duch,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Mito</w:t>
      </w:r>
      <w:r>
        <w:rPr>
          <w:rFonts w:asciiTheme="minorHAnsi" w:hAnsiTheme="minorHAnsi" w:cstheme="minorHAnsi"/>
          <w:sz w:val="22"/>
          <w:szCs w:val="22"/>
          <w:lang w:val="es-ES"/>
        </w:rPr>
        <w:t>…, 15.</w:t>
      </w:r>
    </w:p>
    <w:p w14:paraId="0BC46463" w14:textId="77777777" w:rsidR="00AE2971" w:rsidRDefault="00000000">
      <w:pPr>
        <w:rPr>
          <w:rFonts w:asciiTheme="minorHAnsi" w:hAnsiTheme="minorHAnsi" w:cstheme="minorHAnsi"/>
          <w:color w:val="808080" w:themeColor="background1" w:themeShade="80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808080" w:themeColor="background1" w:themeShade="80"/>
          <w:sz w:val="22"/>
          <w:szCs w:val="22"/>
          <w:lang w:val="es-ES"/>
        </w:rPr>
        <w:t>Si se trata de un libro traducido, véase en la página siguiente "Libro con autor y traductor".</w:t>
      </w:r>
    </w:p>
    <w:p w14:paraId="084BEB15" w14:textId="77777777" w:rsidR="00AE2971" w:rsidRDefault="00AE2971">
      <w:pPr>
        <w:pStyle w:val="Didefault"/>
        <w:rPr>
          <w:rFonts w:asciiTheme="minorHAnsi" w:hAnsiTheme="minorHAnsi" w:cstheme="minorHAnsi"/>
          <w:iCs/>
          <w:color w:val="auto"/>
          <w:lang w:val="es-ES"/>
        </w:rPr>
      </w:pPr>
    </w:p>
    <w:p w14:paraId="6386322F" w14:textId="77777777" w:rsidR="00AE2971" w:rsidRDefault="00000000">
      <w:pPr>
        <w:pStyle w:val="Didefault"/>
        <w:rPr>
          <w:rFonts w:asciiTheme="minorHAnsi" w:hAnsiTheme="minorHAnsi" w:cstheme="minorHAnsi"/>
          <w:b/>
          <w:iCs/>
          <w:color w:val="auto"/>
          <w:lang w:val="es-ES"/>
        </w:rPr>
      </w:pPr>
      <w:r>
        <w:rPr>
          <w:rFonts w:asciiTheme="minorHAnsi" w:hAnsiTheme="minorHAnsi" w:cstheme="minorHAnsi"/>
          <w:b/>
          <w:iCs/>
          <w:color w:val="auto"/>
          <w:lang w:val="es-ES"/>
        </w:rPr>
        <w:t>Libro con dos o tres autores</w:t>
      </w:r>
    </w:p>
    <w:p w14:paraId="2E401FB3" w14:textId="77777777" w:rsidR="00AE2971" w:rsidRDefault="00000000">
      <w:pPr>
        <w:pStyle w:val="Prrafodelista"/>
        <w:numPr>
          <w:ilvl w:val="0"/>
          <w:numId w:val="2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6D0CDBB5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Rafael Casado Martínez, Antonio Herrero Elordi y Juan Suárez Ávila,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Lo que no es vivienda en la vivienda social: propuesta sobre una regulación arquitectónica de los espacios anejos</w:t>
      </w:r>
      <w:r>
        <w:rPr>
          <w:rFonts w:asciiTheme="minorHAnsi" w:hAnsiTheme="minorHAnsi" w:cstheme="minorHAnsi"/>
          <w:sz w:val="22"/>
          <w:szCs w:val="22"/>
          <w:lang w:val="es-ES"/>
        </w:rPr>
        <w:t xml:space="preserve"> (Sevilla: Consejería de Fomento y Vivienda, 2014), 8.</w:t>
      </w:r>
    </w:p>
    <w:p w14:paraId="2155AC1C" w14:textId="77777777" w:rsidR="00AE2971" w:rsidRDefault="00000000">
      <w:pPr>
        <w:pStyle w:val="Prrafodelista"/>
        <w:numPr>
          <w:ilvl w:val="0"/>
          <w:numId w:val="2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6EB883AA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Casado Martínez, Herrero Elordi y Suárez Ávila,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Lo que no es vivienda</w:t>
      </w:r>
      <w:r>
        <w:rPr>
          <w:rFonts w:asciiTheme="minorHAnsi" w:hAnsiTheme="minorHAnsi" w:cstheme="minorHAnsi"/>
          <w:sz w:val="22"/>
          <w:szCs w:val="22"/>
          <w:lang w:val="es-ES"/>
        </w:rPr>
        <w:t>…, 16.</w:t>
      </w:r>
    </w:p>
    <w:p w14:paraId="379FF443" w14:textId="77777777" w:rsidR="00AE2971" w:rsidRDefault="00AE2971">
      <w:pPr>
        <w:pStyle w:val="Didefault"/>
        <w:rPr>
          <w:rFonts w:asciiTheme="minorHAnsi" w:hAnsiTheme="minorHAnsi" w:cstheme="minorHAnsi"/>
          <w:lang w:val="es-ES"/>
        </w:rPr>
      </w:pPr>
    </w:p>
    <w:p w14:paraId="0E6A9093" w14:textId="77777777" w:rsidR="00AE2971" w:rsidRDefault="00000000">
      <w:pPr>
        <w:pStyle w:val="Didefault"/>
        <w:rPr>
          <w:rFonts w:asciiTheme="minorHAnsi" w:hAnsiTheme="minorHAnsi" w:cstheme="minorHAnsi"/>
          <w:b/>
          <w:iCs/>
          <w:color w:val="auto"/>
          <w:lang w:val="es-ES"/>
        </w:rPr>
      </w:pPr>
      <w:r>
        <w:rPr>
          <w:rFonts w:asciiTheme="minorHAnsi" w:hAnsiTheme="minorHAnsi" w:cstheme="minorHAnsi"/>
          <w:b/>
          <w:iCs/>
          <w:color w:val="auto"/>
          <w:lang w:val="es-ES"/>
        </w:rPr>
        <w:t>Libro con cuatro o más autores</w:t>
      </w:r>
    </w:p>
    <w:p w14:paraId="29390FE6" w14:textId="77777777" w:rsidR="00AE2971" w:rsidRDefault="00000000">
      <w:pPr>
        <w:pStyle w:val="Prrafodelista"/>
        <w:numPr>
          <w:ilvl w:val="0"/>
          <w:numId w:val="3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0D23C2C0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color w:val="7F7F7F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 xml:space="preserve">Se hace uso de la </w:t>
      </w:r>
      <w:r>
        <w:rPr>
          <w:rFonts w:asciiTheme="minorHAnsi" w:hAnsiTheme="minorHAnsi" w:cstheme="minorHAnsi"/>
          <w:color w:val="808080" w:themeColor="background1" w:themeShade="80"/>
          <w:sz w:val="22"/>
          <w:szCs w:val="22"/>
          <w:lang w:val="es-ES"/>
        </w:rPr>
        <w:t>locución latina et al.</w:t>
      </w:r>
    </w:p>
    <w:p w14:paraId="2FF2EB36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José Manuel Bustos Gisbert et al.,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 xml:space="preserve">La fosilización en el aprendizaje de segundas lenguas: el buen aprendiz </w:t>
      </w:r>
      <w:r>
        <w:rPr>
          <w:rFonts w:asciiTheme="minorHAnsi" w:hAnsiTheme="minorHAnsi" w:cstheme="minorHAnsi"/>
          <w:sz w:val="22"/>
          <w:szCs w:val="22"/>
          <w:lang w:val="es-ES"/>
        </w:rPr>
        <w:t>(Salamanca: Luso-Española de Ediciones, 2006), 123.</w:t>
      </w:r>
    </w:p>
    <w:p w14:paraId="15363795" w14:textId="77777777" w:rsidR="00AE2971" w:rsidRDefault="00000000">
      <w:pPr>
        <w:pStyle w:val="Prrafodelista"/>
        <w:numPr>
          <w:ilvl w:val="0"/>
          <w:numId w:val="3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5BFF151C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color w:val="7F7F7F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Se hace uso de la locución latina et al.</w:t>
      </w:r>
    </w:p>
    <w:p w14:paraId="63D9C609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Bustos Gisbert et al.,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La fosilización</w:t>
      </w:r>
      <w:r>
        <w:rPr>
          <w:rFonts w:asciiTheme="minorHAnsi" w:hAnsiTheme="minorHAnsi" w:cstheme="minorHAnsi"/>
          <w:sz w:val="22"/>
          <w:szCs w:val="22"/>
          <w:lang w:val="es-ES"/>
        </w:rPr>
        <w:t>…, 78.</w:t>
      </w:r>
    </w:p>
    <w:p w14:paraId="348F3291" w14:textId="77777777" w:rsidR="00AE2971" w:rsidRDefault="00AE2971">
      <w:pPr>
        <w:pStyle w:val="Prrafodelista"/>
        <w:spacing w:after="0" w:line="240" w:lineRule="auto"/>
        <w:ind w:left="0"/>
        <w:jc w:val="left"/>
        <w:rPr>
          <w:rFonts w:asciiTheme="minorHAnsi" w:eastAsia="Arial Unicode MS" w:hAnsiTheme="minorHAnsi" w:cstheme="minorHAnsi"/>
          <w:b/>
          <w:iCs/>
          <w:color w:val="C5A95B"/>
          <w:kern w:val="2"/>
          <w:sz w:val="22"/>
          <w:szCs w:val="22"/>
          <w:u w:color="000000"/>
          <w:lang w:val="es-ES" w:eastAsia="zh-CN" w:bidi="hi-IN"/>
        </w:rPr>
      </w:pPr>
    </w:p>
    <w:p w14:paraId="7493C2B5" w14:textId="77777777" w:rsidR="00AE2971" w:rsidRDefault="00000000">
      <w:pPr>
        <w:pStyle w:val="Prrafodelista"/>
        <w:spacing w:after="0" w:line="240" w:lineRule="auto"/>
        <w:ind w:left="0"/>
        <w:jc w:val="left"/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</w:pPr>
      <w:r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  <w:t>Libro con editor(es), compilador(es) o coordinador(es) en lugar de autor</w:t>
      </w:r>
    </w:p>
    <w:p w14:paraId="63A19862" w14:textId="77777777" w:rsidR="00AE2971" w:rsidRDefault="00000000">
      <w:pPr>
        <w:rPr>
          <w:rFonts w:asciiTheme="minorHAnsi" w:hAnsiTheme="minorHAnsi" w:cstheme="minorHAnsi"/>
          <w:color w:val="7F7F7F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Según el caso, se empleará la abreviatura: ed., eds., comp., comps., coord., coords.</w:t>
      </w:r>
    </w:p>
    <w:p w14:paraId="495FC064" w14:textId="77777777" w:rsidR="00AE2971" w:rsidRDefault="00000000">
      <w:pPr>
        <w:pStyle w:val="Prrafodelista"/>
        <w:numPr>
          <w:ilvl w:val="0"/>
          <w:numId w:val="4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79649F88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Antonio Notario Ruiz, ed.,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Contrapuntos estéticos</w:t>
      </w:r>
      <w:r>
        <w:rPr>
          <w:rFonts w:asciiTheme="minorHAnsi" w:hAnsiTheme="minorHAnsi" w:cstheme="minorHAnsi"/>
          <w:sz w:val="22"/>
          <w:szCs w:val="22"/>
          <w:lang w:val="es-ES"/>
        </w:rPr>
        <w:t xml:space="preserve"> (Salamanca: Ediciones Universidad de Salamanca, 2005), 55.</w:t>
      </w:r>
    </w:p>
    <w:p w14:paraId="24491121" w14:textId="77777777" w:rsidR="00AE2971" w:rsidRDefault="00000000">
      <w:pPr>
        <w:pStyle w:val="Prrafodelista"/>
        <w:numPr>
          <w:ilvl w:val="0"/>
          <w:numId w:val="4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2222E80C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Notario Ruiz,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Contrapuntos</w:t>
      </w:r>
      <w:r>
        <w:rPr>
          <w:rFonts w:asciiTheme="minorHAnsi" w:hAnsiTheme="minorHAnsi" w:cstheme="minorHAnsi"/>
          <w:sz w:val="22"/>
          <w:szCs w:val="22"/>
          <w:lang w:val="es-ES"/>
        </w:rPr>
        <w:t>…,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s-ES"/>
        </w:rPr>
        <w:t>23.</w:t>
      </w:r>
    </w:p>
    <w:p w14:paraId="302CCBA8" w14:textId="77777777" w:rsidR="00AE2971" w:rsidRDefault="00AE2971">
      <w:pPr>
        <w:pStyle w:val="Prrafodelista"/>
        <w:spacing w:after="0" w:line="240" w:lineRule="auto"/>
        <w:ind w:left="0"/>
        <w:jc w:val="left"/>
        <w:rPr>
          <w:rFonts w:asciiTheme="minorHAnsi" w:hAnsiTheme="minorHAnsi" w:cstheme="minorHAnsi"/>
          <w:i/>
          <w:sz w:val="22"/>
          <w:szCs w:val="22"/>
          <w:lang w:val="es-ES"/>
        </w:rPr>
      </w:pPr>
    </w:p>
    <w:p w14:paraId="418DC7D2" w14:textId="77777777" w:rsidR="00AE2971" w:rsidRDefault="00000000">
      <w:pPr>
        <w:pStyle w:val="Prrafodelista"/>
        <w:spacing w:after="0" w:line="240" w:lineRule="auto"/>
        <w:ind w:left="0"/>
        <w:jc w:val="left"/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</w:pPr>
      <w:r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  <w:t>Libro con autor y editor</w:t>
      </w:r>
    </w:p>
    <w:p w14:paraId="77378A51" w14:textId="77777777" w:rsidR="00AE2971" w:rsidRDefault="00000000">
      <w:pPr>
        <w:pStyle w:val="Prrafodelista"/>
        <w:numPr>
          <w:ilvl w:val="0"/>
          <w:numId w:val="5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28C24D1F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Salvador Fernández Ramírez,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La enseñanza de la gramática y la literatura</w:t>
      </w:r>
      <w:r>
        <w:rPr>
          <w:rFonts w:asciiTheme="minorHAnsi" w:hAnsiTheme="minorHAnsi" w:cstheme="minorHAnsi"/>
          <w:sz w:val="22"/>
          <w:szCs w:val="22"/>
          <w:lang w:val="es-ES"/>
        </w:rPr>
        <w:t>, ed. por José Polo (Madrid: Arco/Libros, 1985), 145-146.</w:t>
      </w:r>
    </w:p>
    <w:p w14:paraId="4115764D" w14:textId="77777777" w:rsidR="00AE2971" w:rsidRDefault="00000000">
      <w:pPr>
        <w:pStyle w:val="Prrafodelista"/>
        <w:numPr>
          <w:ilvl w:val="0"/>
          <w:numId w:val="5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6F685238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Fernández Ramírez,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La enseñanza</w:t>
      </w:r>
      <w:r>
        <w:rPr>
          <w:rFonts w:asciiTheme="minorHAnsi" w:hAnsiTheme="minorHAnsi" w:cstheme="minorHAnsi"/>
          <w:sz w:val="22"/>
          <w:szCs w:val="22"/>
          <w:lang w:val="es-ES"/>
        </w:rPr>
        <w:t>…, 33.</w:t>
      </w:r>
    </w:p>
    <w:p w14:paraId="10271DEA" w14:textId="77777777" w:rsidR="00AE2971" w:rsidRDefault="00AE2971">
      <w:pPr>
        <w:rPr>
          <w:rFonts w:asciiTheme="minorHAnsi" w:hAnsiTheme="minorHAnsi" w:cstheme="minorHAnsi"/>
          <w:sz w:val="22"/>
          <w:szCs w:val="22"/>
          <w:lang w:val="es-ES"/>
        </w:rPr>
      </w:pPr>
    </w:p>
    <w:p w14:paraId="47B35F51" w14:textId="77777777" w:rsidR="00AE2971" w:rsidRDefault="00000000">
      <w:pPr>
        <w:pStyle w:val="Prrafodelista"/>
        <w:spacing w:after="0" w:line="240" w:lineRule="auto"/>
        <w:ind w:left="0"/>
        <w:jc w:val="left"/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</w:pPr>
      <w:r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  <w:t>Libro con autor y traductor</w:t>
      </w:r>
    </w:p>
    <w:p w14:paraId="475C80F0" w14:textId="77777777" w:rsidR="00AE2971" w:rsidRDefault="00000000">
      <w:pPr>
        <w:pStyle w:val="Prrafodelista"/>
        <w:spacing w:after="0" w:line="240" w:lineRule="auto"/>
        <w:ind w:left="0"/>
        <w:jc w:val="left"/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</w:pP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Las referencias a libros traducidos deben mencionar el traductor(es).</w:t>
      </w:r>
    </w:p>
    <w:p w14:paraId="42CB6136" w14:textId="77777777" w:rsidR="00AE2971" w:rsidRDefault="00000000">
      <w:pPr>
        <w:pStyle w:val="Prrafodelista"/>
        <w:numPr>
          <w:ilvl w:val="0"/>
          <w:numId w:val="6"/>
        </w:numPr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0F5D2F49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Bruno Zevi,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Saber ver la arquitectura</w:t>
      </w:r>
      <w:r>
        <w:rPr>
          <w:rFonts w:asciiTheme="minorHAnsi" w:hAnsiTheme="minorHAnsi" w:cstheme="minorHAnsi"/>
          <w:sz w:val="22"/>
          <w:szCs w:val="22"/>
          <w:lang w:val="es-ES"/>
        </w:rPr>
        <w:t>, trad. por Cino Calcaprina y Jesús Bermejo Goday (Barcelona: Poseidón, 1991), 62.</w:t>
      </w:r>
    </w:p>
    <w:p w14:paraId="04EBAEC2" w14:textId="77777777" w:rsidR="00AE2971" w:rsidRDefault="00000000">
      <w:pPr>
        <w:pStyle w:val="Prrafodelista"/>
        <w:numPr>
          <w:ilvl w:val="0"/>
          <w:numId w:val="6"/>
        </w:numPr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609BF488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Zevi,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Saber</w:t>
      </w:r>
      <w:r>
        <w:rPr>
          <w:rFonts w:asciiTheme="minorHAnsi" w:hAnsiTheme="minorHAnsi" w:cstheme="minorHAnsi"/>
          <w:sz w:val="22"/>
          <w:szCs w:val="22"/>
          <w:lang w:val="es-ES"/>
        </w:rPr>
        <w:t>…, 74.</w:t>
      </w:r>
    </w:p>
    <w:p w14:paraId="5A00FE1D" w14:textId="77777777" w:rsidR="00AE2971" w:rsidRDefault="00AE2971">
      <w:pPr>
        <w:pStyle w:val="Prrafodelista"/>
        <w:spacing w:after="0" w:line="240" w:lineRule="auto"/>
        <w:ind w:left="0"/>
        <w:jc w:val="left"/>
        <w:rPr>
          <w:rFonts w:asciiTheme="minorHAnsi" w:hAnsiTheme="minorHAnsi" w:cstheme="minorHAnsi"/>
          <w:sz w:val="22"/>
          <w:szCs w:val="22"/>
          <w:lang w:val="es-ES"/>
        </w:rPr>
      </w:pPr>
    </w:p>
    <w:p w14:paraId="73219046" w14:textId="77777777" w:rsidR="00AE2971" w:rsidRDefault="00000000">
      <w:pPr>
        <w:pStyle w:val="Prrafodelista"/>
        <w:spacing w:after="0" w:line="240" w:lineRule="auto"/>
        <w:ind w:left="0"/>
        <w:jc w:val="left"/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</w:pPr>
      <w:r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  <w:t>Libro electrónico</w:t>
      </w:r>
    </w:p>
    <w:p w14:paraId="69A8C34A" w14:textId="77777777" w:rsidR="00AE2971" w:rsidRDefault="00000000">
      <w:pPr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Si no existen números de páginas, se puede incluir el título de sección o capítulo u otro dato identificativo.</w:t>
      </w:r>
    </w:p>
    <w:p w14:paraId="0A58E373" w14:textId="77777777" w:rsidR="00AE2971" w:rsidRDefault="00000000">
      <w:pPr>
        <w:pStyle w:val="Prrafodelista"/>
        <w:numPr>
          <w:ilvl w:val="0"/>
          <w:numId w:val="7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0F1A6608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Jane Austen,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Pride and Prejudice</w:t>
      </w:r>
      <w:r>
        <w:rPr>
          <w:rFonts w:asciiTheme="minorHAnsi" w:hAnsiTheme="minorHAnsi" w:cstheme="minorHAnsi"/>
          <w:sz w:val="22"/>
          <w:szCs w:val="22"/>
          <w:lang w:val="es-ES"/>
        </w:rPr>
        <w:t xml:space="preserve"> (Nueva York: Penguin Classics, 2008), edición en PDF, cap. 23.</w:t>
      </w:r>
    </w:p>
    <w:p w14:paraId="02C8FDAD" w14:textId="77777777" w:rsidR="00AE2971" w:rsidRDefault="00000000">
      <w:pPr>
        <w:pStyle w:val="Prrafodelista"/>
        <w:numPr>
          <w:ilvl w:val="0"/>
          <w:numId w:val="7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73B8953C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Austen, </w:t>
      </w:r>
      <w:r>
        <w:rPr>
          <w:rFonts w:asciiTheme="minorHAnsi" w:hAnsiTheme="minorHAnsi" w:cstheme="minorHAnsi"/>
          <w:i/>
          <w:sz w:val="22"/>
          <w:szCs w:val="22"/>
        </w:rPr>
        <w:t>Pride and Prejudice</w:t>
      </w:r>
      <w:r>
        <w:rPr>
          <w:rFonts w:asciiTheme="minorHAnsi" w:hAnsiTheme="minorHAnsi" w:cstheme="minorHAnsi"/>
          <w:sz w:val="22"/>
          <w:szCs w:val="22"/>
        </w:rPr>
        <w:t>, cap. 23.</w:t>
      </w:r>
    </w:p>
    <w:p w14:paraId="0B421244" w14:textId="77777777" w:rsidR="00AE2971" w:rsidRDefault="00AE2971">
      <w:pPr>
        <w:pStyle w:val="Prrafodelista"/>
        <w:spacing w:after="0" w:line="240" w:lineRule="auto"/>
        <w:ind w:left="0"/>
        <w:jc w:val="left"/>
        <w:rPr>
          <w:rFonts w:asciiTheme="minorHAnsi" w:hAnsiTheme="minorHAnsi" w:cstheme="minorHAnsi"/>
          <w:sz w:val="22"/>
          <w:szCs w:val="22"/>
        </w:rPr>
      </w:pPr>
    </w:p>
    <w:p w14:paraId="00C381AA" w14:textId="77777777" w:rsidR="00AE2971" w:rsidRDefault="00000000">
      <w:pPr>
        <w:pStyle w:val="Prrafodelista"/>
        <w:spacing w:after="0" w:line="240" w:lineRule="auto"/>
        <w:ind w:left="0"/>
        <w:jc w:val="left"/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</w:pPr>
      <w:r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  <w:t>Libro consultado en línea</w:t>
      </w:r>
    </w:p>
    <w:p w14:paraId="67520AC2" w14:textId="77777777" w:rsidR="00AE2971" w:rsidRDefault="00000000">
      <w:pPr>
        <w:rPr>
          <w:rFonts w:asciiTheme="minorHAnsi" w:hAnsiTheme="minorHAnsi" w:cstheme="minorHAnsi"/>
          <w:color w:val="7F7F7F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En los libros consultados en línea hay que añadir el URL. Si no existen números de páginas, se puede incluir el título de sección o capítulo u otro dato identificativo.</w:t>
      </w:r>
    </w:p>
    <w:p w14:paraId="51739090" w14:textId="77777777" w:rsidR="00AE2971" w:rsidRDefault="00000000">
      <w:pPr>
        <w:pStyle w:val="Prrafodelista"/>
        <w:numPr>
          <w:ilvl w:val="0"/>
          <w:numId w:val="8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597DD2AE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Salvador Gutiérrez Ordóñez,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Lingüística y semántica: aproximación funcional</w:t>
      </w:r>
      <w:r>
        <w:rPr>
          <w:rFonts w:asciiTheme="minorHAnsi" w:hAnsiTheme="minorHAnsi" w:cstheme="minorHAnsi"/>
          <w:sz w:val="22"/>
          <w:szCs w:val="22"/>
          <w:lang w:val="es-ES"/>
        </w:rPr>
        <w:t xml:space="preserve"> (Oviedo: Universidad de Oviedo, 1981), http://www.gruposincom.es/publicaciones-de-salvador-gutierrezordonez.</w:t>
      </w:r>
    </w:p>
    <w:p w14:paraId="4B084C67" w14:textId="77777777" w:rsidR="00AE2971" w:rsidRDefault="00000000">
      <w:pPr>
        <w:pStyle w:val="Prrafodelista"/>
        <w:numPr>
          <w:ilvl w:val="0"/>
          <w:numId w:val="8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1867FA8A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i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Gutiérrez Ordóñez,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Lingüística y semántica.</w:t>
      </w:r>
    </w:p>
    <w:p w14:paraId="680341EB" w14:textId="77777777" w:rsidR="00AE2971" w:rsidRDefault="00AE2971">
      <w:pPr>
        <w:pStyle w:val="Prrafodelista"/>
        <w:spacing w:after="0" w:line="240" w:lineRule="auto"/>
        <w:ind w:left="0"/>
        <w:jc w:val="left"/>
        <w:rPr>
          <w:rFonts w:asciiTheme="minorHAnsi" w:hAnsiTheme="minorHAnsi" w:cstheme="minorHAnsi"/>
          <w:sz w:val="22"/>
          <w:szCs w:val="22"/>
          <w:lang w:val="es-ES"/>
        </w:rPr>
      </w:pPr>
    </w:p>
    <w:p w14:paraId="6004C0A4" w14:textId="77777777" w:rsidR="00AE2971" w:rsidRDefault="00000000">
      <w:pPr>
        <w:pStyle w:val="Prrafodelista"/>
        <w:spacing w:after="0" w:line="240" w:lineRule="auto"/>
        <w:ind w:left="0"/>
        <w:jc w:val="left"/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it-IT" w:eastAsia="zh-CN" w:bidi="hi-IN"/>
        </w:rPr>
      </w:pPr>
      <w:r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it-IT" w:eastAsia="zh-CN" w:bidi="hi-IN"/>
        </w:rPr>
        <w:t>Capítulo de un libro editado</w:t>
      </w:r>
    </w:p>
    <w:p w14:paraId="315F3F7A" w14:textId="77777777" w:rsidR="00AE2971" w:rsidRDefault="00000000">
      <w:pPr>
        <w:pStyle w:val="Prrafodelista"/>
        <w:numPr>
          <w:ilvl w:val="0"/>
          <w:numId w:val="9"/>
        </w:numPr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2E12F460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color w:val="7F7F7F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El número de página indica la localización de la cita textual o la idea</w:t>
      </w:r>
      <w:r>
        <w:rPr>
          <w:rFonts w:asciiTheme="minorHAnsi" w:hAnsiTheme="minorHAnsi" w:cstheme="minorHAnsi"/>
          <w:color w:val="7F7F7F"/>
          <w:sz w:val="22"/>
          <w:szCs w:val="22"/>
          <w:lang w:val="es-ES_tradnl"/>
        </w:rPr>
        <w:t xml:space="preserve"> </w:t>
      </w: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dentro del capítulo.</w:t>
      </w:r>
    </w:p>
    <w:p w14:paraId="2835E48A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Josefina Gómez Mendoza, "Ecología urbana y paisaje de la ciudad", en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La ciudad del futuro</w:t>
      </w:r>
      <w:r>
        <w:rPr>
          <w:rFonts w:asciiTheme="minorHAnsi" w:hAnsiTheme="minorHAnsi" w:cstheme="minorHAnsi"/>
          <w:sz w:val="22"/>
          <w:szCs w:val="22"/>
          <w:lang w:val="es-ES"/>
        </w:rPr>
        <w:t>, ed. por Antonio Bonet Correa (Madrid: Instituto de España, 2009), 180.</w:t>
      </w:r>
    </w:p>
    <w:p w14:paraId="368D378F" w14:textId="77777777" w:rsidR="00AE2971" w:rsidRDefault="00000000">
      <w:pPr>
        <w:pStyle w:val="Prrafodelista"/>
        <w:numPr>
          <w:ilvl w:val="0"/>
          <w:numId w:val="9"/>
        </w:numPr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62992FFB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color w:val="7F7F7F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El número de página indica la localización de la cita textual o la idea</w:t>
      </w:r>
      <w:r>
        <w:rPr>
          <w:rFonts w:asciiTheme="minorHAnsi" w:hAnsiTheme="minorHAnsi" w:cstheme="minorHAnsi"/>
          <w:color w:val="7F7F7F"/>
          <w:sz w:val="22"/>
          <w:szCs w:val="22"/>
          <w:lang w:val="es-ES_tradnl"/>
        </w:rPr>
        <w:t xml:space="preserve"> </w:t>
      </w: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dentro del capítulo.</w:t>
      </w:r>
    </w:p>
    <w:p w14:paraId="29D29184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Gómez Mendoza, "Ecología urbana…", 178.</w:t>
      </w:r>
    </w:p>
    <w:p w14:paraId="0E254CEC" w14:textId="77777777" w:rsidR="00AE2971" w:rsidRDefault="00AE2971">
      <w:pPr>
        <w:pStyle w:val="Prrafodelista"/>
        <w:spacing w:after="0" w:line="240" w:lineRule="auto"/>
        <w:ind w:left="0"/>
        <w:jc w:val="left"/>
        <w:rPr>
          <w:rFonts w:asciiTheme="minorHAnsi" w:hAnsiTheme="minorHAnsi" w:cstheme="minorHAnsi"/>
          <w:sz w:val="22"/>
          <w:szCs w:val="22"/>
          <w:lang w:val="es-ES"/>
        </w:rPr>
      </w:pPr>
    </w:p>
    <w:p w14:paraId="4804B6A7" w14:textId="77777777" w:rsidR="00AE2971" w:rsidRDefault="00000000">
      <w:pPr>
        <w:pStyle w:val="Prrafodelista"/>
        <w:spacing w:after="0" w:line="240" w:lineRule="auto"/>
        <w:ind w:left="0"/>
        <w:jc w:val="left"/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</w:pPr>
      <w:r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  <w:t>Artículo de revista impresa</w:t>
      </w:r>
    </w:p>
    <w:p w14:paraId="77DFF1FE" w14:textId="77777777" w:rsidR="00AE2971" w:rsidRDefault="00000000">
      <w:pPr>
        <w:rPr>
          <w:rFonts w:asciiTheme="minorHAnsi" w:hAnsiTheme="minorHAnsi" w:cstheme="minorHAnsi"/>
          <w:color w:val="7F7F7F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Estos ejemplos incluyen el número del volumen y el de la entrega. El número del volumen (en redonda) sigue al nombre de la revista (en cursiva), sin ninguna puntuación entre ambos.</w:t>
      </w:r>
    </w:p>
    <w:p w14:paraId="6553887E" w14:textId="77777777" w:rsidR="00AE2971" w:rsidRDefault="00000000">
      <w:pPr>
        <w:pStyle w:val="Prrafodelista"/>
        <w:numPr>
          <w:ilvl w:val="0"/>
          <w:numId w:val="10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50A84747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color w:val="7F7F7F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El número de página indica la localización de la cita textual o la idea</w:t>
      </w:r>
      <w:r>
        <w:rPr>
          <w:rFonts w:asciiTheme="minorHAnsi" w:hAnsiTheme="minorHAnsi" w:cstheme="minorHAnsi"/>
          <w:color w:val="7F7F7F"/>
          <w:sz w:val="22"/>
          <w:szCs w:val="22"/>
          <w:lang w:val="es-ES_tradnl"/>
        </w:rPr>
        <w:t xml:space="preserve"> </w:t>
      </w: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dentro del artículo.</w:t>
      </w:r>
    </w:p>
    <w:p w14:paraId="62C35225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María José Hernández Guerrero, "Presencia y utilización de la traducción en la prensa española",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Meta</w:t>
      </w:r>
      <w:r>
        <w:rPr>
          <w:rFonts w:asciiTheme="minorHAnsi" w:hAnsiTheme="minorHAnsi" w:cstheme="minorHAnsi"/>
          <w:sz w:val="22"/>
          <w:szCs w:val="22"/>
          <w:lang w:val="es-ES"/>
        </w:rPr>
        <w:t xml:space="preserve"> 56, n.º 1 (2011): 112.</w:t>
      </w:r>
    </w:p>
    <w:p w14:paraId="7A335019" w14:textId="77777777" w:rsidR="00AE2971" w:rsidRDefault="00000000">
      <w:pPr>
        <w:pStyle w:val="Prrafodelista"/>
        <w:numPr>
          <w:ilvl w:val="0"/>
          <w:numId w:val="10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1D94B630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color w:val="7F7F7F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El número de página indica la localización de la cita textual o la idea dentro del artículo.</w:t>
      </w:r>
    </w:p>
    <w:p w14:paraId="6D1E0083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Hernández Guerrero, "Presencia y utilización…", 113.</w:t>
      </w:r>
    </w:p>
    <w:p w14:paraId="3306A0D2" w14:textId="77777777" w:rsidR="00AE2971" w:rsidRDefault="00AE2971">
      <w:pPr>
        <w:pStyle w:val="Prrafodelista"/>
        <w:spacing w:after="0" w:line="240" w:lineRule="auto"/>
        <w:ind w:left="0"/>
        <w:jc w:val="left"/>
        <w:rPr>
          <w:rFonts w:asciiTheme="minorHAnsi" w:hAnsiTheme="minorHAnsi" w:cstheme="minorHAnsi"/>
          <w:sz w:val="22"/>
          <w:szCs w:val="22"/>
          <w:lang w:val="es-ES"/>
        </w:rPr>
      </w:pPr>
    </w:p>
    <w:p w14:paraId="20545C1A" w14:textId="77777777" w:rsidR="00AE2971" w:rsidRDefault="00000000">
      <w:pPr>
        <w:pStyle w:val="Prrafodelista"/>
        <w:spacing w:after="0" w:line="240" w:lineRule="auto"/>
        <w:ind w:left="0"/>
        <w:jc w:val="left"/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it-IT" w:eastAsia="zh-CN" w:bidi="hi-IN"/>
        </w:rPr>
      </w:pPr>
      <w:r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it-IT" w:eastAsia="zh-CN" w:bidi="hi-IN"/>
        </w:rPr>
        <w:t>Artículo de revista electrónica</w:t>
      </w:r>
    </w:p>
    <w:p w14:paraId="5F5E13AE" w14:textId="77777777" w:rsidR="00AE2971" w:rsidRDefault="00000000">
      <w:pPr>
        <w:pStyle w:val="Prrafodelista"/>
        <w:numPr>
          <w:ilvl w:val="0"/>
          <w:numId w:val="11"/>
        </w:numPr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3725E9EE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Guadalupe García Correa, "Security, Migration, and the Economy in the Texas-Tamaulipas Border Region: The 'Real' Effects of Mexico’s Drug War", </w:t>
      </w:r>
      <w:r>
        <w:rPr>
          <w:rFonts w:asciiTheme="minorHAnsi" w:hAnsiTheme="minorHAnsi" w:cstheme="minorHAnsi"/>
          <w:i/>
          <w:sz w:val="22"/>
          <w:szCs w:val="22"/>
        </w:rPr>
        <w:t xml:space="preserve">Politics &amp; Policy </w:t>
      </w:r>
      <w:r>
        <w:rPr>
          <w:rFonts w:asciiTheme="minorHAnsi" w:hAnsiTheme="minorHAnsi" w:cstheme="minorHAnsi"/>
          <w:sz w:val="22"/>
          <w:szCs w:val="22"/>
        </w:rPr>
        <w:t xml:space="preserve">41, n.º 1 (febrero </w:t>
      </w:r>
      <w:r>
        <w:rPr>
          <w:rFonts w:asciiTheme="minorHAnsi" w:hAnsiTheme="minorHAnsi" w:cstheme="minorHAnsi"/>
          <w:sz w:val="22"/>
          <w:szCs w:val="22"/>
        </w:rPr>
        <w:lastRenderedPageBreak/>
        <w:t xml:space="preserve">2013), consultado 15 de marzo de 2014: 78. </w:t>
      </w:r>
      <w:hyperlink r:id="rId7" w:history="1">
        <w:r>
          <w:rPr>
            <w:rStyle w:val="Hipervnculo"/>
            <w:rFonts w:asciiTheme="minorHAnsi" w:hAnsiTheme="minorHAnsi" w:cstheme="minorHAnsi"/>
            <w:sz w:val="22"/>
            <w:szCs w:val="22"/>
          </w:rPr>
          <w:t>http://onlinelibrary.wiley.com/doi/10.1111/polp.12005/pdf</w:t>
        </w:r>
      </w:hyperlink>
      <w:r>
        <w:rPr>
          <w:rFonts w:asciiTheme="minorHAnsi" w:hAnsiTheme="minorHAnsi" w:cstheme="minorHAnsi"/>
          <w:sz w:val="22"/>
          <w:szCs w:val="22"/>
        </w:rPr>
        <w:t>.</w:t>
      </w:r>
    </w:p>
    <w:p w14:paraId="448C22A2" w14:textId="77777777" w:rsidR="00AE2971" w:rsidRDefault="00000000">
      <w:pPr>
        <w:pStyle w:val="Prrafodelista"/>
        <w:numPr>
          <w:ilvl w:val="0"/>
          <w:numId w:val="11"/>
        </w:numPr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4F196C27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García Correa, "Security, Migration…", 31.</w:t>
      </w:r>
    </w:p>
    <w:p w14:paraId="1D570310" w14:textId="77777777" w:rsidR="00AE2971" w:rsidRDefault="00AE2971">
      <w:pPr>
        <w:pStyle w:val="Prrafodelista"/>
        <w:spacing w:after="0" w:line="240" w:lineRule="auto"/>
        <w:ind w:left="0"/>
        <w:jc w:val="left"/>
        <w:rPr>
          <w:rFonts w:asciiTheme="minorHAnsi" w:hAnsiTheme="minorHAnsi" w:cstheme="minorHAnsi"/>
          <w:sz w:val="22"/>
          <w:szCs w:val="22"/>
          <w:lang w:val="es-ES"/>
        </w:rPr>
      </w:pPr>
    </w:p>
    <w:p w14:paraId="2E1D500F" w14:textId="77777777" w:rsidR="00AE2971" w:rsidRDefault="00000000">
      <w:pPr>
        <w:pStyle w:val="Prrafodelista"/>
        <w:spacing w:after="0" w:line="240" w:lineRule="auto"/>
        <w:ind w:left="0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  <w:t>Artículo de página web</w:t>
      </w:r>
    </w:p>
    <w:p w14:paraId="359521B9" w14:textId="77777777" w:rsidR="00AE2971" w:rsidRDefault="00000000">
      <w:pPr>
        <w:pStyle w:val="Prrafodelista"/>
        <w:numPr>
          <w:ilvl w:val="0"/>
          <w:numId w:val="12"/>
        </w:numPr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353B7A9E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Ron Gurantz, "Look Who’s Looking", en </w:t>
      </w:r>
      <w:r>
        <w:rPr>
          <w:rFonts w:asciiTheme="minorHAnsi" w:hAnsiTheme="minorHAnsi" w:cstheme="minorHAnsi"/>
          <w:i/>
          <w:sz w:val="22"/>
          <w:szCs w:val="22"/>
        </w:rPr>
        <w:t>The Independent Institute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sz w:val="22"/>
          <w:szCs w:val="22"/>
        </w:rPr>
        <w:t>(sitio web)</w:t>
      </w:r>
      <w:r>
        <w:rPr>
          <w:rFonts w:asciiTheme="minorHAnsi" w:hAnsiTheme="minorHAnsi" w:cstheme="minorHAnsi"/>
          <w:sz w:val="22"/>
          <w:szCs w:val="22"/>
        </w:rPr>
        <w:t>, 22 de</w:t>
      </w:r>
    </w:p>
    <w:p w14:paraId="45DBD305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octubre 2001, consultado 2 de septiembre de 2003,</w:t>
      </w:r>
    </w:p>
    <w:p w14:paraId="1D3B3592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http://www.independent.org/tii/news/011022Guarantz.html.</w:t>
      </w:r>
    </w:p>
    <w:p w14:paraId="0382D1D9" w14:textId="77777777" w:rsidR="00AE2971" w:rsidRDefault="00000000">
      <w:pPr>
        <w:pStyle w:val="Prrafodelista"/>
        <w:numPr>
          <w:ilvl w:val="0"/>
          <w:numId w:val="12"/>
        </w:numPr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4CB920F6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>Gurantz, "Look Who’s Looking".</w:t>
      </w:r>
    </w:p>
    <w:p w14:paraId="753260DE" w14:textId="77777777" w:rsidR="00AE2971" w:rsidRDefault="00AE2971">
      <w:pPr>
        <w:pStyle w:val="Prrafodelista"/>
        <w:spacing w:after="0" w:line="240" w:lineRule="auto"/>
        <w:ind w:left="0"/>
        <w:jc w:val="left"/>
        <w:rPr>
          <w:rFonts w:asciiTheme="minorHAnsi" w:hAnsiTheme="minorHAnsi" w:cstheme="minorHAnsi"/>
          <w:sz w:val="22"/>
          <w:szCs w:val="22"/>
        </w:rPr>
      </w:pPr>
    </w:p>
    <w:p w14:paraId="28BB2D3F" w14:textId="77777777" w:rsidR="00AE2971" w:rsidRDefault="00000000">
      <w:pPr>
        <w:pStyle w:val="Prrafodelista"/>
        <w:spacing w:after="0" w:line="240" w:lineRule="auto"/>
        <w:ind w:left="0"/>
        <w:jc w:val="left"/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eastAsia="zh-CN" w:bidi="hi-IN"/>
        </w:rPr>
      </w:pPr>
      <w:r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eastAsia="zh-CN" w:bidi="hi-IN"/>
        </w:rPr>
        <w:t>Tesis o tesina</w:t>
      </w:r>
    </w:p>
    <w:p w14:paraId="2FC38275" w14:textId="77777777" w:rsidR="00AE2971" w:rsidRDefault="00000000">
      <w:pPr>
        <w:pStyle w:val="Prrafodelista"/>
        <w:numPr>
          <w:ilvl w:val="0"/>
          <w:numId w:val="13"/>
        </w:numPr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7A70A1A9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Francisco José Hernández Rubio, "Los límites del eliminacionismo: una solución epigenética al problema mente-cerebro" (tesis doctoral, Universidad de Murcia, 2010), 145, http://hdl.handle.net/10201/17600.</w:t>
      </w:r>
    </w:p>
    <w:p w14:paraId="4DF6C475" w14:textId="77777777" w:rsidR="00AE2971" w:rsidRDefault="00000000">
      <w:pPr>
        <w:pStyle w:val="Prrafodelista"/>
        <w:numPr>
          <w:ilvl w:val="0"/>
          <w:numId w:val="13"/>
        </w:numPr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0EDBA448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Hernández Rubio, "Los límites…", 130-132.</w:t>
      </w:r>
    </w:p>
    <w:p w14:paraId="1B3A2797" w14:textId="77777777" w:rsidR="00AE2971" w:rsidRDefault="00AE2971">
      <w:pPr>
        <w:pStyle w:val="Prrafodelista"/>
        <w:spacing w:after="0" w:line="240" w:lineRule="auto"/>
        <w:ind w:left="0"/>
        <w:jc w:val="left"/>
        <w:rPr>
          <w:rFonts w:asciiTheme="minorHAnsi" w:hAnsiTheme="minorHAnsi" w:cstheme="minorHAnsi"/>
          <w:sz w:val="22"/>
          <w:szCs w:val="22"/>
          <w:lang w:val="es-ES"/>
        </w:rPr>
      </w:pPr>
    </w:p>
    <w:p w14:paraId="210D7FA2" w14:textId="77777777" w:rsidR="00AE2971" w:rsidRDefault="00000000">
      <w:pPr>
        <w:pStyle w:val="Prrafodelista"/>
        <w:spacing w:after="0" w:line="240" w:lineRule="auto"/>
        <w:ind w:left="0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  <w:t>Documento presentado en conferencia, ponencia, congreso o similar</w:t>
      </w:r>
    </w:p>
    <w:p w14:paraId="1DE63109" w14:textId="77777777" w:rsidR="00AE2971" w:rsidRDefault="00000000">
      <w:pPr>
        <w:pStyle w:val="Prrafodelista"/>
        <w:numPr>
          <w:ilvl w:val="0"/>
          <w:numId w:val="14"/>
        </w:numPr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22F3EF2D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Silvia Rodríguez Vázquez, "Flujos de traducción: herramientas de ayuda a la gestión de proyectos en función de la situación de trabajo" (conferencia, Universidad de Salamanca, 8 de noviembre de 2012).</w:t>
      </w:r>
    </w:p>
    <w:p w14:paraId="032B6113" w14:textId="77777777" w:rsidR="00AE2971" w:rsidRDefault="00000000">
      <w:pPr>
        <w:pStyle w:val="Prrafodelista"/>
        <w:numPr>
          <w:ilvl w:val="0"/>
          <w:numId w:val="14"/>
        </w:numPr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3237D392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Rodríguez Vázquez, "Flujos de traducción…".</w:t>
      </w:r>
    </w:p>
    <w:p w14:paraId="22BC4E54" w14:textId="77777777" w:rsidR="00AE2971" w:rsidRDefault="00AE2971">
      <w:pPr>
        <w:pStyle w:val="Prrafodelista"/>
        <w:spacing w:after="0" w:line="240" w:lineRule="auto"/>
        <w:ind w:left="0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</w:p>
    <w:p w14:paraId="2D159F2B" w14:textId="77777777" w:rsidR="00AE2971" w:rsidRDefault="00000000">
      <w:pPr>
        <w:pStyle w:val="Prrafodelista"/>
        <w:spacing w:after="0" w:line="240" w:lineRule="auto"/>
        <w:ind w:left="0"/>
        <w:jc w:val="left"/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</w:pPr>
      <w:r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  <w:t>Grabación sonora</w:t>
      </w:r>
    </w:p>
    <w:p w14:paraId="3188065E" w14:textId="77777777" w:rsidR="00AE2971" w:rsidRDefault="00000000">
      <w:pPr>
        <w:rPr>
          <w:rFonts w:asciiTheme="minorHAnsi" w:hAnsiTheme="minorHAnsi" w:cstheme="minorHAnsi"/>
          <w:color w:val="7F7F7F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Una cita referida a una grabación (de cualquier tipo) incluye, normalmente, los siguientes elementos o, al menos, el mayor número posible de ellos: el nombre del compositor, escritor, intérprete u otro responsable primario del contenido; el título, en cursiva o entre comillas, según corresponda; el nombre de la compañía discográfica o editorial; un número de identificación de la grabación; indicación del soporte (disco compacto, casete, archivo audiovisual, etc.), y la fecha del copyright o de la producción o interpretación. Para las grabaciones consultadas en línea se debe facilitar, además, un URL o DOI.</w:t>
      </w:r>
    </w:p>
    <w:p w14:paraId="4A692482" w14:textId="77777777" w:rsidR="00AE2971" w:rsidRDefault="00000000">
      <w:pPr>
        <w:pStyle w:val="Prrafodelista"/>
        <w:numPr>
          <w:ilvl w:val="0"/>
          <w:numId w:val="15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3EAA5955" w14:textId="77777777" w:rsidR="00AE2971" w:rsidRDefault="00000000">
      <w:pPr>
        <w:pStyle w:val="Prrafodelista"/>
        <w:spacing w:after="0" w:line="240" w:lineRule="auto"/>
        <w:ind w:left="924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 xml:space="preserve">Pablo Luna, </w:t>
      </w:r>
      <w:r>
        <w:rPr>
          <w:rFonts w:asciiTheme="minorHAnsi" w:hAnsiTheme="minorHAnsi" w:cstheme="minorHAnsi"/>
          <w:i/>
          <w:color w:val="000000"/>
          <w:sz w:val="22"/>
          <w:szCs w:val="22"/>
          <w:lang w:val="x-none"/>
        </w:rPr>
        <w:t xml:space="preserve">Los cadetes de la reina, </w:t>
      </w: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>José Olaría y María Puchol, dirección de Foglietti</w:t>
      </w: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>(Berlín: International Talking Machine, 1922), 78½ rpm.</w:t>
      </w:r>
    </w:p>
    <w:p w14:paraId="2831DE02" w14:textId="77777777" w:rsidR="00AE2971" w:rsidRDefault="00000000">
      <w:pPr>
        <w:pStyle w:val="Prrafodelista"/>
        <w:numPr>
          <w:ilvl w:val="0"/>
          <w:numId w:val="15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1C1EBB2F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 xml:space="preserve">Luna, </w:t>
      </w:r>
      <w:r>
        <w:rPr>
          <w:rFonts w:asciiTheme="minorHAnsi" w:hAnsiTheme="minorHAnsi" w:cstheme="minorHAnsi"/>
          <w:i/>
          <w:color w:val="000000"/>
          <w:sz w:val="22"/>
          <w:szCs w:val="22"/>
          <w:lang w:val="x-none"/>
        </w:rPr>
        <w:t>Los cadetes de la reina</w:t>
      </w:r>
      <w:r>
        <w:rPr>
          <w:rFonts w:asciiTheme="minorHAnsi" w:hAnsiTheme="minorHAnsi" w:cstheme="minorHAnsi"/>
          <w:i/>
          <w:color w:val="000000"/>
          <w:sz w:val="22"/>
          <w:szCs w:val="22"/>
          <w:lang w:val="es-ES"/>
        </w:rPr>
        <w:t>.</w:t>
      </w:r>
    </w:p>
    <w:p w14:paraId="61FFC659" w14:textId="77777777" w:rsidR="00AE2971" w:rsidRDefault="00AE2971">
      <w:pPr>
        <w:pStyle w:val="Prrafodelista"/>
        <w:spacing w:after="0" w:line="240" w:lineRule="auto"/>
        <w:ind w:left="0"/>
        <w:jc w:val="left"/>
        <w:rPr>
          <w:rFonts w:asciiTheme="minorHAnsi" w:hAnsiTheme="minorHAnsi" w:cstheme="minorHAnsi"/>
          <w:i/>
          <w:sz w:val="22"/>
          <w:szCs w:val="22"/>
          <w:lang w:val="es-ES"/>
        </w:rPr>
      </w:pPr>
    </w:p>
    <w:p w14:paraId="2C694117" w14:textId="77777777" w:rsidR="00AE2971" w:rsidRDefault="00000000">
      <w:pPr>
        <w:pStyle w:val="Didefault"/>
        <w:rPr>
          <w:rFonts w:asciiTheme="minorHAnsi" w:hAnsiTheme="minorHAnsi" w:cstheme="minorHAnsi"/>
          <w:b/>
          <w:iCs/>
          <w:color w:val="auto"/>
        </w:rPr>
      </w:pPr>
      <w:r>
        <w:rPr>
          <w:rFonts w:asciiTheme="minorHAnsi" w:hAnsiTheme="minorHAnsi" w:cstheme="minorHAnsi"/>
          <w:b/>
          <w:iCs/>
          <w:color w:val="auto"/>
        </w:rPr>
        <w:t>Grabacion de imagen</w:t>
      </w:r>
    </w:p>
    <w:p w14:paraId="5CF2D364" w14:textId="77777777" w:rsidR="00AE2971" w:rsidRDefault="00000000">
      <w:pPr>
        <w:pStyle w:val="Prrafodelista"/>
        <w:numPr>
          <w:ilvl w:val="0"/>
          <w:numId w:val="16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6AA47A78" w14:textId="77777777" w:rsidR="00AE2971" w:rsidRDefault="00000000">
      <w:pPr>
        <w:pStyle w:val="Prrafodelista"/>
        <w:autoSpaceDE w:val="0"/>
        <w:autoSpaceDN w:val="0"/>
        <w:adjustRightInd w:val="0"/>
        <w:snapToGrid w:val="0"/>
        <w:spacing w:after="0" w:line="240" w:lineRule="auto"/>
        <w:ind w:left="924"/>
        <w:jc w:val="left"/>
        <w:rPr>
          <w:rFonts w:asciiTheme="minorHAnsi" w:hAnsiTheme="minorHAnsi" w:cstheme="minorHAnsi"/>
          <w:color w:val="000000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 xml:space="preserve">Pilar Miró, </w:t>
      </w:r>
      <w:r>
        <w:rPr>
          <w:rFonts w:asciiTheme="minorHAnsi" w:hAnsiTheme="minorHAnsi" w:cstheme="minorHAnsi"/>
          <w:i/>
          <w:color w:val="000000"/>
          <w:sz w:val="22"/>
          <w:szCs w:val="22"/>
          <w:lang w:val="x-none"/>
        </w:rPr>
        <w:t xml:space="preserve">El pájaro de la felicidad </w:t>
      </w: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>(Madrid: Divisa Home Video, 1993), videocasete</w:t>
      </w: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>(VHS), 122 min.</w:t>
      </w:r>
    </w:p>
    <w:p w14:paraId="42FB30F3" w14:textId="77777777" w:rsidR="00AE2971" w:rsidRDefault="00000000">
      <w:pPr>
        <w:pStyle w:val="Prrafodelista"/>
        <w:numPr>
          <w:ilvl w:val="0"/>
          <w:numId w:val="16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3991AE93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 xml:space="preserve">Miró, </w:t>
      </w:r>
      <w:r>
        <w:rPr>
          <w:rFonts w:asciiTheme="minorHAnsi" w:hAnsiTheme="minorHAnsi" w:cstheme="minorHAnsi"/>
          <w:i/>
          <w:color w:val="000000"/>
          <w:sz w:val="22"/>
          <w:szCs w:val="22"/>
          <w:lang w:val="x-none"/>
        </w:rPr>
        <w:t>El pájaro de la felicidad.</w:t>
      </w:r>
    </w:p>
    <w:p w14:paraId="24E2FE24" w14:textId="77777777" w:rsidR="00AE2971" w:rsidRDefault="00AE2971">
      <w:pPr>
        <w:pStyle w:val="Prrafodelista"/>
        <w:autoSpaceDE w:val="0"/>
        <w:autoSpaceDN w:val="0"/>
        <w:adjustRightInd w:val="0"/>
        <w:snapToGrid w:val="0"/>
        <w:spacing w:after="0" w:line="240" w:lineRule="auto"/>
        <w:ind w:left="0"/>
        <w:jc w:val="left"/>
        <w:rPr>
          <w:rFonts w:asciiTheme="minorHAnsi" w:hAnsiTheme="minorHAnsi" w:cstheme="minorHAnsi"/>
          <w:color w:val="000000"/>
          <w:sz w:val="22"/>
          <w:szCs w:val="22"/>
          <w:lang w:val="es-ES"/>
        </w:rPr>
      </w:pPr>
    </w:p>
    <w:p w14:paraId="333C8285" w14:textId="77777777" w:rsidR="00AE2971" w:rsidRDefault="00000000">
      <w:pPr>
        <w:pStyle w:val="Prrafodelista"/>
        <w:autoSpaceDE w:val="0"/>
        <w:autoSpaceDN w:val="0"/>
        <w:adjustRightInd w:val="0"/>
        <w:snapToGrid w:val="0"/>
        <w:spacing w:after="0" w:line="240" w:lineRule="auto"/>
        <w:ind w:left="0"/>
        <w:jc w:val="left"/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it-IT" w:eastAsia="zh-CN" w:bidi="hi-IN"/>
        </w:rPr>
      </w:pPr>
      <w:r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it-IT" w:eastAsia="zh-CN" w:bidi="hi-IN"/>
        </w:rPr>
        <w:t>Multimedia en línea</w:t>
      </w:r>
    </w:p>
    <w:p w14:paraId="3368012F" w14:textId="77777777" w:rsidR="00AE2971" w:rsidRDefault="00000000">
      <w:pPr>
        <w:pStyle w:val="Prrafodelista"/>
        <w:numPr>
          <w:ilvl w:val="0"/>
          <w:numId w:val="17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38022BE3" w14:textId="77777777" w:rsidR="00AE2971" w:rsidRDefault="00000000">
      <w:pPr>
        <w:pStyle w:val="Prrafodelista"/>
        <w:autoSpaceDE w:val="0"/>
        <w:autoSpaceDN w:val="0"/>
        <w:adjustRightInd w:val="0"/>
        <w:snapToGrid w:val="0"/>
        <w:spacing w:after="0" w:line="240" w:lineRule="auto"/>
        <w:ind w:left="924"/>
        <w:jc w:val="left"/>
        <w:rPr>
          <w:rFonts w:asciiTheme="minorHAnsi" w:hAnsiTheme="minorHAnsi" w:cstheme="minorHAnsi"/>
          <w:color w:val="000000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lastRenderedPageBreak/>
        <w:t xml:space="preserve">Fernando López Heptener, </w:t>
      </w: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>"</w:t>
      </w: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>Por tierras de Zamora</w:t>
      </w: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>"</w:t>
      </w: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>, documental rodado en 1933, video</w:t>
      </w: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 xml:space="preserve">en YouTube, 10:36, </w:t>
      </w: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>consultado</w:t>
      </w: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 xml:space="preserve"> 13 de septiembre de 2011,</w:t>
      </w:r>
    </w:p>
    <w:p w14:paraId="465A65B4" w14:textId="77777777" w:rsidR="00AE2971" w:rsidRDefault="00000000">
      <w:pPr>
        <w:pStyle w:val="Prrafodelista"/>
        <w:autoSpaceDE w:val="0"/>
        <w:autoSpaceDN w:val="0"/>
        <w:adjustRightInd w:val="0"/>
        <w:snapToGrid w:val="0"/>
        <w:spacing w:after="0" w:line="240" w:lineRule="auto"/>
        <w:ind w:left="924"/>
        <w:jc w:val="left"/>
        <w:rPr>
          <w:rFonts w:asciiTheme="minorHAnsi" w:hAnsiTheme="minorHAnsi" w:cstheme="minorHAnsi"/>
          <w:color w:val="000000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>http://www.youtube.com/watch?v=PRCjvDgyrBQ.</w:t>
      </w:r>
    </w:p>
    <w:p w14:paraId="14FC73C0" w14:textId="77777777" w:rsidR="00AE2971" w:rsidRDefault="00000000">
      <w:pPr>
        <w:pStyle w:val="Prrafodelista"/>
        <w:numPr>
          <w:ilvl w:val="0"/>
          <w:numId w:val="17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33F1398F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 xml:space="preserve">López Heptener, </w:t>
      </w: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>"</w:t>
      </w: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>Por tierras de Zamora</w:t>
      </w: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>".</w:t>
      </w:r>
    </w:p>
    <w:p w14:paraId="4839EE41" w14:textId="77777777" w:rsidR="00AE2971" w:rsidRDefault="00AE2971">
      <w:pPr>
        <w:pStyle w:val="Prrafodelista"/>
        <w:autoSpaceDE w:val="0"/>
        <w:autoSpaceDN w:val="0"/>
        <w:adjustRightInd w:val="0"/>
        <w:snapToGrid w:val="0"/>
        <w:spacing w:after="0" w:line="240" w:lineRule="auto"/>
        <w:ind w:left="0"/>
        <w:jc w:val="left"/>
        <w:rPr>
          <w:rFonts w:asciiTheme="minorHAnsi" w:hAnsiTheme="minorHAnsi" w:cstheme="minorHAnsi"/>
          <w:color w:val="000000"/>
          <w:sz w:val="22"/>
          <w:szCs w:val="22"/>
          <w:lang w:val="es-ES"/>
        </w:rPr>
      </w:pPr>
    </w:p>
    <w:p w14:paraId="7175FC24" w14:textId="77777777" w:rsidR="00AE2971" w:rsidRDefault="00000000">
      <w:pPr>
        <w:pStyle w:val="Prrafodelista"/>
        <w:autoSpaceDE w:val="0"/>
        <w:autoSpaceDN w:val="0"/>
        <w:adjustRightInd w:val="0"/>
        <w:snapToGrid w:val="0"/>
        <w:spacing w:after="0" w:line="240" w:lineRule="auto"/>
        <w:ind w:left="0"/>
        <w:jc w:val="left"/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</w:pPr>
      <w:r>
        <w:rPr>
          <w:rFonts w:asciiTheme="minorHAnsi" w:eastAsia="Arial Unicode MS" w:hAnsiTheme="minorHAnsi" w:cstheme="minorHAnsi"/>
          <w:b/>
          <w:iCs/>
          <w:kern w:val="2"/>
          <w:sz w:val="22"/>
          <w:szCs w:val="22"/>
          <w:u w:color="000000"/>
          <w:lang w:val="es-ES" w:eastAsia="zh-CN" w:bidi="hi-IN"/>
        </w:rPr>
        <w:t>Entrada de diccionario/enciclopedia electrónico</w:t>
      </w:r>
    </w:p>
    <w:p w14:paraId="5656EAB0" w14:textId="77777777" w:rsidR="00AE2971" w:rsidRDefault="00000000">
      <w:pPr>
        <w:rPr>
          <w:rFonts w:asciiTheme="minorHAnsi" w:hAnsiTheme="minorHAnsi" w:cstheme="minorHAnsi"/>
          <w:i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Se emplea la fórmula s.v. (sub verbo) antes de indicar la palabra buscada. Esta se escribe entre comillas.</w:t>
      </w:r>
    </w:p>
    <w:p w14:paraId="5F763448" w14:textId="77777777" w:rsidR="00AE2971" w:rsidRDefault="00000000">
      <w:pPr>
        <w:pStyle w:val="Prrafodelista"/>
        <w:numPr>
          <w:ilvl w:val="0"/>
          <w:numId w:val="18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54C09FE5" w14:textId="77777777" w:rsidR="00AE2971" w:rsidRDefault="00000000">
      <w:pPr>
        <w:pStyle w:val="Prrafodelista"/>
        <w:autoSpaceDE w:val="0"/>
        <w:autoSpaceDN w:val="0"/>
        <w:adjustRightInd w:val="0"/>
        <w:snapToGrid w:val="0"/>
        <w:spacing w:after="0" w:line="240" w:lineRule="auto"/>
        <w:ind w:left="924"/>
        <w:jc w:val="left"/>
        <w:rPr>
          <w:rFonts w:asciiTheme="minorHAnsi" w:hAnsiTheme="minorHAnsi" w:cstheme="minorHAnsi"/>
          <w:color w:val="000000"/>
          <w:sz w:val="22"/>
          <w:szCs w:val="22"/>
          <w:lang w:val="es-ES"/>
        </w:rPr>
      </w:pPr>
      <w:r>
        <w:rPr>
          <w:rFonts w:asciiTheme="minorHAnsi" w:hAnsiTheme="minorHAnsi" w:cstheme="minorHAnsi"/>
          <w:i/>
          <w:color w:val="000000"/>
          <w:sz w:val="22"/>
          <w:szCs w:val="22"/>
          <w:lang w:val="x-none"/>
        </w:rPr>
        <w:t>Encyclopaedia Britannica Online</w:t>
      </w: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 xml:space="preserve">, s.v. </w:t>
      </w: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>"</w:t>
      </w: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>Suez Crisis</w:t>
      </w: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>",</w:t>
      </w: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 xml:space="preserve"> consultado 18 de julio de 2014,</w:t>
      </w: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val="x-none"/>
        </w:rPr>
        <w:t>http:// http://www.britannica.com/EBchecked/topic/571713/Suez-Crisis.</w:t>
      </w:r>
    </w:p>
    <w:p w14:paraId="7CC30A0D" w14:textId="77777777" w:rsidR="00AE2971" w:rsidRDefault="00000000">
      <w:pPr>
        <w:pStyle w:val="Prrafodelista"/>
        <w:numPr>
          <w:ilvl w:val="0"/>
          <w:numId w:val="18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61658A35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i/>
          <w:sz w:val="22"/>
          <w:szCs w:val="22"/>
          <w:lang w:val="es-ES"/>
        </w:rPr>
        <w:t>Encyclopaedia Britannica Online</w:t>
      </w:r>
      <w:r>
        <w:rPr>
          <w:rFonts w:asciiTheme="minorHAnsi" w:hAnsiTheme="minorHAnsi" w:cstheme="minorHAnsi"/>
          <w:sz w:val="22"/>
          <w:szCs w:val="22"/>
          <w:lang w:val="es-ES"/>
        </w:rPr>
        <w:t>, s.v. "Suez Crisis".</w:t>
      </w:r>
    </w:p>
    <w:p w14:paraId="0F740C44" w14:textId="77777777" w:rsidR="00AE2971" w:rsidRDefault="00AE2971">
      <w:pPr>
        <w:pStyle w:val="Prrafodelista"/>
        <w:autoSpaceDE w:val="0"/>
        <w:autoSpaceDN w:val="0"/>
        <w:adjustRightInd w:val="0"/>
        <w:snapToGrid w:val="0"/>
        <w:spacing w:after="0" w:line="240" w:lineRule="auto"/>
        <w:ind w:left="0"/>
        <w:jc w:val="left"/>
        <w:rPr>
          <w:rFonts w:asciiTheme="minorHAnsi" w:hAnsiTheme="minorHAnsi" w:cstheme="minorHAnsi"/>
          <w:color w:val="000000"/>
          <w:sz w:val="22"/>
          <w:szCs w:val="22"/>
          <w:lang w:val="es-ES"/>
        </w:rPr>
      </w:pPr>
    </w:p>
    <w:p w14:paraId="72074D97" w14:textId="77777777" w:rsidR="00AE2971" w:rsidRDefault="00000000">
      <w:pPr>
        <w:pStyle w:val="Didefault"/>
        <w:rPr>
          <w:rFonts w:asciiTheme="minorHAnsi" w:hAnsiTheme="minorHAnsi" w:cstheme="minorHAnsi"/>
          <w:b/>
          <w:iCs/>
          <w:color w:val="auto"/>
          <w:lang w:val="es-ES"/>
        </w:rPr>
      </w:pPr>
      <w:r>
        <w:rPr>
          <w:rFonts w:asciiTheme="minorHAnsi" w:hAnsiTheme="minorHAnsi" w:cstheme="minorHAnsi"/>
          <w:b/>
          <w:iCs/>
          <w:color w:val="auto"/>
          <w:lang w:val="es-ES"/>
        </w:rPr>
        <w:t>Entrada de blog, tweet o facebook</w:t>
      </w:r>
    </w:p>
    <w:p w14:paraId="1D387F3C" w14:textId="77777777" w:rsidR="00AE2971" w:rsidRDefault="00000000">
      <w:pPr>
        <w:rPr>
          <w:rFonts w:asciiTheme="minorHAnsi" w:hAnsiTheme="minorHAnsi" w:cstheme="minorHAnsi"/>
          <w:color w:val="7F7F7F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7F7F7F"/>
          <w:sz w:val="22"/>
          <w:szCs w:val="22"/>
          <w:lang w:val="es-ES"/>
        </w:rPr>
        <w:t>Se debe indicar el nombre o seudónimo del autor/a, la fecha y hora de consulta, el título o contenido (si es largo, solo las primeras palabras seguidas de puntos suspensivos) del artículo/comentario, el nombre del blog, la fecha de posteo y el vínculo.</w:t>
      </w:r>
    </w:p>
    <w:p w14:paraId="1B75F17F" w14:textId="77777777" w:rsidR="00AE2971" w:rsidRDefault="00000000">
      <w:pPr>
        <w:pStyle w:val="Prrafodelista"/>
        <w:numPr>
          <w:ilvl w:val="0"/>
          <w:numId w:val="19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completa en nota a pie de página:</w:t>
      </w:r>
    </w:p>
    <w:p w14:paraId="16BE60AB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José Luis Ramírez, 17 de marzo de 2012 (21:28), comentario "Hacer los deberes",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Blog de Lengua española</w:t>
      </w:r>
      <w:r>
        <w:rPr>
          <w:rFonts w:asciiTheme="minorHAnsi" w:hAnsiTheme="minorHAnsi" w:cstheme="minorHAnsi"/>
          <w:sz w:val="22"/>
          <w:szCs w:val="22"/>
          <w:lang w:val="es-ES"/>
        </w:rPr>
        <w:t>, 13 de marzo de 2012, http://blog.lengua-e.com/2012/hacerlos-deberes/#comments.</w:t>
      </w:r>
    </w:p>
    <w:p w14:paraId="208F3732" w14:textId="77777777" w:rsidR="00AE2971" w:rsidRDefault="00000000">
      <w:pPr>
        <w:pStyle w:val="Prrafodelista"/>
        <w:numPr>
          <w:ilvl w:val="0"/>
          <w:numId w:val="19"/>
        </w:numPr>
        <w:spacing w:after="0" w:line="240" w:lineRule="auto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u w:val="single"/>
          <w:lang w:val="es-ES"/>
        </w:rPr>
        <w:t>referencia abreviada en nota a pie de página:</w:t>
      </w:r>
    </w:p>
    <w:p w14:paraId="3145400C" w14:textId="77777777" w:rsidR="00AE2971" w:rsidRDefault="00000000">
      <w:pPr>
        <w:pStyle w:val="Prrafodelista"/>
        <w:spacing w:after="0" w:line="240" w:lineRule="auto"/>
        <w:ind w:left="927"/>
        <w:jc w:val="left"/>
        <w:rPr>
          <w:rFonts w:asciiTheme="minorHAnsi" w:hAnsiTheme="minorHAnsi" w:cstheme="minorHAnsi"/>
          <w:sz w:val="22"/>
          <w:szCs w:val="22"/>
          <w:u w:val="single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Ramírez, "Hacer los deberes".</w:t>
      </w:r>
    </w:p>
    <w:p w14:paraId="48B6DFC1" w14:textId="77777777" w:rsidR="00AE2971" w:rsidRDefault="00AE2971">
      <w:pPr>
        <w:pStyle w:val="Didefault"/>
        <w:rPr>
          <w:rFonts w:asciiTheme="minorHAnsi" w:hAnsiTheme="minorHAnsi" w:cstheme="minorHAnsi"/>
          <w:b/>
          <w:iCs/>
          <w:color w:val="C5A95B"/>
          <w:lang w:val="es-ES"/>
        </w:rPr>
      </w:pPr>
    </w:p>
    <w:p w14:paraId="2AB2CF53" w14:textId="77777777" w:rsidR="00AE2971" w:rsidRDefault="00AE2971">
      <w:pPr>
        <w:pStyle w:val="Didefault"/>
        <w:rPr>
          <w:rFonts w:asciiTheme="minorHAnsi" w:hAnsiTheme="minorHAnsi" w:cstheme="minorHAnsi"/>
          <w:b/>
          <w:iCs/>
          <w:color w:val="C5A95B"/>
          <w:lang w:val="es-ES"/>
        </w:rPr>
      </w:pPr>
    </w:p>
    <w:p w14:paraId="28C85F52" w14:textId="77777777" w:rsidR="00AE2971" w:rsidRDefault="00AE2971">
      <w:pPr>
        <w:pStyle w:val="Didefault"/>
        <w:rPr>
          <w:rFonts w:asciiTheme="minorHAnsi" w:hAnsiTheme="minorHAnsi" w:cstheme="minorHAnsi"/>
          <w:b/>
          <w:iCs/>
          <w:color w:val="C5A95B"/>
          <w:lang w:val="es-ES"/>
        </w:rPr>
      </w:pPr>
    </w:p>
    <w:p w14:paraId="29FDA129" w14:textId="77777777" w:rsidR="00AE2971" w:rsidRDefault="00000000">
      <w:pPr>
        <w:pStyle w:val="Didefault"/>
        <w:rPr>
          <w:rFonts w:asciiTheme="minorHAnsi" w:hAnsiTheme="minorHAnsi" w:cstheme="minorHAnsi"/>
          <w:b/>
          <w:iCs/>
          <w:color w:val="auto"/>
          <w:lang w:val="es-ES"/>
        </w:rPr>
      </w:pPr>
      <w:r>
        <w:rPr>
          <w:rFonts w:asciiTheme="minorHAnsi" w:hAnsiTheme="minorHAnsi" w:cstheme="minorHAnsi"/>
          <w:b/>
          <w:iCs/>
          <w:color w:val="auto"/>
          <w:lang w:val="es-ES"/>
        </w:rPr>
        <w:t>Notas adicionales</w:t>
      </w:r>
    </w:p>
    <w:p w14:paraId="021C699B" w14:textId="77777777" w:rsidR="00AE2971" w:rsidRDefault="00000000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Normalmente, los nombres de los autores se deben incluir como aparecen en la obra consultada. Algunas obras no especifican los nombres de pila de los autores y solo presentan iniciales, por lo que no es necesario investigar el nombre completo.</w:t>
      </w:r>
    </w:p>
    <w:p w14:paraId="170C0C45" w14:textId="77777777" w:rsidR="00AE2971" w:rsidRDefault="00000000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Los títulos y subtítulos en español solo llevan inicial mayúscula en la primera palabra y en los nombres propios. Los títulos y subtítulos en inglés llevan inicial mayúscula en todas las palabras, exceptuando las preposiciones (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in, on, by, at,</w:t>
      </w:r>
      <w:r>
        <w:rPr>
          <w:rFonts w:asciiTheme="minorHAnsi" w:hAnsiTheme="minorHAnsi" w:cstheme="minorHAnsi"/>
          <w:sz w:val="22"/>
          <w:szCs w:val="22"/>
          <w:lang w:val="es-ES"/>
        </w:rPr>
        <w:t xml:space="preserve"> etc.), artículos (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a, an, the</w:t>
      </w:r>
      <w:r>
        <w:rPr>
          <w:rFonts w:asciiTheme="minorHAnsi" w:hAnsiTheme="minorHAnsi" w:cstheme="minorHAnsi"/>
          <w:sz w:val="22"/>
          <w:szCs w:val="22"/>
          <w:lang w:val="es-ES"/>
        </w:rPr>
        <w:t>) y las conjunciones coordinadas (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and, but, or, nor, for, as</w:t>
      </w:r>
      <w:r>
        <w:rPr>
          <w:rFonts w:asciiTheme="minorHAnsi" w:hAnsiTheme="minorHAnsi" w:cstheme="minorHAnsi"/>
          <w:sz w:val="22"/>
          <w:szCs w:val="22"/>
          <w:lang w:val="es-ES"/>
        </w:rPr>
        <w:t xml:space="preserve">). La información de las publicaciones en inglés (lugar de publicación, mes o estación del año) se debe escribir en español si el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paper</w:t>
      </w:r>
      <w:r>
        <w:rPr>
          <w:rFonts w:asciiTheme="minorHAnsi" w:hAnsiTheme="minorHAnsi" w:cstheme="minorHAnsi"/>
          <w:sz w:val="22"/>
          <w:szCs w:val="22"/>
          <w:lang w:val="es-ES"/>
        </w:rPr>
        <w:t xml:space="preserve"> está escrito en español. En el caso de ciudades cuyo nombre no tiene traducción, se escribirá el nombre en el idioma original. Para referenciar publicaciones en idiomas distintos al español e inglés, se atenderá a lo recogido en </w:t>
      </w:r>
      <w:r>
        <w:rPr>
          <w:rFonts w:asciiTheme="minorHAnsi" w:hAnsiTheme="minorHAnsi" w:cstheme="minorHAnsi"/>
          <w:i/>
          <w:sz w:val="22"/>
          <w:szCs w:val="22"/>
          <w:lang w:val="es-ES"/>
        </w:rPr>
        <w:t>The Chicago Manual of Style</w:t>
      </w:r>
      <w:r>
        <w:rPr>
          <w:rFonts w:asciiTheme="minorHAnsi" w:hAnsiTheme="minorHAnsi" w:cstheme="minorHAnsi"/>
          <w:sz w:val="22"/>
          <w:szCs w:val="22"/>
          <w:lang w:val="es-ES"/>
        </w:rPr>
        <w:t xml:space="preserve"> (17ª edición).</w:t>
      </w:r>
    </w:p>
    <w:p w14:paraId="443F65F2" w14:textId="77777777" w:rsidR="00AE2971" w:rsidRDefault="00000000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Los títulos principales (por ejemplo, libros y revistas) se escriben siempre en cursiva; los títulos secundarios (por ejemplo, capítulos y artículos) o de trabajos inéditos se presentan siempre en redonda y entre comillas altas (" "). </w:t>
      </w:r>
    </w:p>
    <w:p w14:paraId="4F36CC34" w14:textId="77777777" w:rsidR="00AE2971" w:rsidRDefault="00000000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Si se desconoce el lugar de la publicación, se empleará la abreviatura s. l.</w:t>
      </w:r>
    </w:p>
    <w:p w14:paraId="0444D830" w14:textId="77777777" w:rsidR="00AE2971" w:rsidRDefault="00000000">
      <w:pPr>
        <w:ind w:firstLine="720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Si se desconoce la fecha de publicación, se empleará la abreviatura s. f.</w:t>
      </w:r>
    </w:p>
    <w:p w14:paraId="60264F20" w14:textId="77777777" w:rsidR="00AE2971" w:rsidRDefault="00000000">
      <w:pPr>
        <w:pStyle w:val="Didefault"/>
        <w:ind w:firstLine="720"/>
        <w:rPr>
          <w:rFonts w:asciiTheme="minorHAnsi" w:hAnsiTheme="minorHAnsi" w:cstheme="minorHAnsi"/>
          <w:color w:val="auto"/>
          <w:lang w:val="es-ES"/>
        </w:rPr>
      </w:pPr>
      <w:r>
        <w:rPr>
          <w:rFonts w:asciiTheme="minorHAnsi" w:hAnsiTheme="minorHAnsi" w:cstheme="minorHAnsi"/>
          <w:color w:val="auto"/>
          <w:lang w:val="es-ES"/>
        </w:rPr>
        <w:t>Si se desconoce el editor, se registrarán únicamente el lugar y la fecha.</w:t>
      </w:r>
    </w:p>
    <w:sectPr w:rsidR="00AE2971">
      <w:headerReference w:type="even" r:id="rId8"/>
      <w:headerReference w:type="default" r:id="rId9"/>
      <w:headerReference w:type="first" r:id="rId10"/>
      <w:pgSz w:w="11907" w:h="16840"/>
      <w:pgMar w:top="1418" w:right="1418" w:bottom="1418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3B5D51" w14:textId="77777777" w:rsidR="00201955" w:rsidRDefault="00201955">
      <w:r>
        <w:separator/>
      </w:r>
    </w:p>
  </w:endnote>
  <w:endnote w:type="continuationSeparator" w:id="0">
    <w:p w14:paraId="39ED33AE" w14:textId="77777777" w:rsidR="00201955" w:rsidRDefault="00201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CC"/>
    <w:family w:val="auto"/>
    <w:pitch w:val="variable"/>
    <w:sig w:usb0="E50002FF" w:usb1="500079DB" w:usb2="0000001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873849" w14:textId="77777777" w:rsidR="00201955" w:rsidRDefault="00201955">
      <w:r>
        <w:separator/>
      </w:r>
    </w:p>
  </w:footnote>
  <w:footnote w:type="continuationSeparator" w:id="0">
    <w:p w14:paraId="16577CEA" w14:textId="77777777" w:rsidR="00201955" w:rsidRDefault="00201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0C03FA" w14:textId="77777777" w:rsidR="00AE2971" w:rsidRDefault="00000000">
    <w:pPr>
      <w:pStyle w:val="Encabezado"/>
      <w:rPr>
        <w:rFonts w:asciiTheme="minorHAnsi" w:hAnsiTheme="minorHAnsi" w:cstheme="minorHAnsi"/>
        <w:color w:val="FFA200"/>
      </w:rPr>
    </w:pPr>
    <w:r>
      <w:rPr>
        <w:rFonts w:asciiTheme="minorHAnsi" w:hAnsiTheme="minorHAnsi" w:cstheme="minorHAnsi"/>
        <w:iCs/>
        <w:color w:val="FFA200"/>
        <w:sz w:val="18"/>
        <w:szCs w:val="18"/>
        <w:lang w:val="es-ES_tradnl"/>
      </w:rPr>
      <w:t>Manual estilo Chicago_ejemplos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343C8E" w14:textId="348DAA6A" w:rsidR="00205B0C" w:rsidRDefault="00205B0C" w:rsidP="00205B0C">
    <w:pPr>
      <w:pStyle w:val="Didefault"/>
      <w:jc w:val="right"/>
      <w:rPr>
        <w:rFonts w:asciiTheme="minorHAnsi" w:hAnsiTheme="minorHAnsi" w:cstheme="minorHAnsi"/>
        <w:iCs/>
        <w:color w:val="FFA200"/>
        <w:sz w:val="18"/>
        <w:szCs w:val="18"/>
        <w:lang w:val="es-ES_tradnl"/>
      </w:rPr>
    </w:pPr>
    <w:r>
      <w:rPr>
        <w:rFonts w:asciiTheme="minorHAnsi" w:hAnsiTheme="minorHAnsi" w:cstheme="minorHAnsi"/>
        <w:iCs/>
        <w:color w:val="E6A21A"/>
        <w:sz w:val="18"/>
        <w:szCs w:val="18"/>
        <w:lang w:val="es-ES_tradnl"/>
      </w:rPr>
      <w:t xml:space="preserve"> </w:t>
    </w:r>
    <w:r>
      <w:rPr>
        <w:rFonts w:asciiTheme="minorHAnsi" w:hAnsiTheme="minorHAnsi" w:cstheme="minorHAnsi"/>
        <w:iCs/>
        <w:color w:val="FFA200"/>
        <w:sz w:val="18"/>
        <w:szCs w:val="18"/>
        <w:lang w:val="es-ES_tradnl"/>
      </w:rPr>
      <w:t xml:space="preserve">VI Congreso Internacional Cultura y Ciudad </w:t>
    </w:r>
  </w:p>
  <w:p w14:paraId="654E0EA1" w14:textId="39CF8278" w:rsidR="00AE2971" w:rsidRPr="00205B0C" w:rsidRDefault="00205B0C">
    <w:pPr>
      <w:pStyle w:val="Didefault"/>
      <w:jc w:val="right"/>
      <w:rPr>
        <w:rFonts w:asciiTheme="minorHAnsi" w:hAnsiTheme="minorHAnsi" w:cstheme="minorHAnsi"/>
        <w:b/>
        <w:iCs/>
        <w:color w:val="FFA200"/>
        <w:sz w:val="18"/>
        <w:szCs w:val="18"/>
        <w:lang w:val="es-ES_tradnl"/>
      </w:rPr>
    </w:pPr>
    <w:r>
      <w:rPr>
        <w:rFonts w:asciiTheme="minorHAnsi" w:hAnsiTheme="minorHAnsi" w:cstheme="minorHAnsi"/>
        <w:b/>
        <w:iCs/>
        <w:color w:val="FFA200"/>
        <w:sz w:val="18"/>
        <w:szCs w:val="18"/>
        <w:lang w:val="es-ES_tradnl"/>
      </w:rPr>
      <w:t>Salud, ciudad, arquitectura: El cuerpo, la higiene y los cuidados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F0EEA5" w14:textId="77777777" w:rsidR="00205B0C" w:rsidRDefault="00205B0C" w:rsidP="00205B0C">
    <w:pPr>
      <w:pStyle w:val="Didefault"/>
      <w:jc w:val="right"/>
      <w:rPr>
        <w:rFonts w:asciiTheme="minorHAnsi" w:hAnsiTheme="minorHAnsi" w:cstheme="minorHAnsi"/>
        <w:iCs/>
        <w:color w:val="FFA200"/>
        <w:sz w:val="18"/>
        <w:szCs w:val="18"/>
        <w:lang w:val="es-ES_tradnl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E5E5ACB" wp14:editId="24CDE2C2">
          <wp:simplePos x="0" y="0"/>
          <wp:positionH relativeFrom="column">
            <wp:posOffset>87241</wp:posOffset>
          </wp:positionH>
          <wp:positionV relativeFrom="paragraph">
            <wp:posOffset>-44245</wp:posOffset>
          </wp:positionV>
          <wp:extent cx="1141771" cy="418064"/>
          <wp:effectExtent l="0" t="0" r="1270" b="1270"/>
          <wp:wrapNone/>
          <wp:docPr id="157108934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089341" name="Imagen 1571089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771" cy="4180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iCs/>
        <w:color w:val="E6A21A"/>
        <w:sz w:val="18"/>
        <w:szCs w:val="18"/>
        <w:lang w:val="es-ES_tradnl"/>
      </w:rPr>
      <w:t xml:space="preserve"> </w:t>
    </w:r>
    <w:r>
      <w:rPr>
        <w:rFonts w:asciiTheme="minorHAnsi" w:hAnsiTheme="minorHAnsi" w:cstheme="minorHAnsi"/>
        <w:iCs/>
        <w:color w:val="FFA200"/>
        <w:sz w:val="18"/>
        <w:szCs w:val="18"/>
        <w:lang w:val="es-ES_tradnl"/>
      </w:rPr>
      <w:t xml:space="preserve">VI Congreso Internacional Cultura y Ciudad </w:t>
    </w:r>
  </w:p>
  <w:p w14:paraId="32000044" w14:textId="77777777" w:rsidR="00205B0C" w:rsidRDefault="00205B0C" w:rsidP="00205B0C">
    <w:pPr>
      <w:pStyle w:val="Didefault"/>
      <w:jc w:val="right"/>
      <w:rPr>
        <w:rFonts w:asciiTheme="minorHAnsi" w:hAnsiTheme="minorHAnsi" w:cstheme="minorHAnsi"/>
        <w:b/>
        <w:iCs/>
        <w:color w:val="FFA200"/>
        <w:sz w:val="18"/>
        <w:szCs w:val="18"/>
        <w:lang w:val="es-ES_tradnl"/>
      </w:rPr>
    </w:pPr>
    <w:r>
      <w:rPr>
        <w:rFonts w:asciiTheme="minorHAnsi" w:hAnsiTheme="minorHAnsi" w:cstheme="minorHAnsi"/>
        <w:b/>
        <w:iCs/>
        <w:color w:val="FFA200"/>
        <w:sz w:val="18"/>
        <w:szCs w:val="18"/>
        <w:lang w:val="es-ES_tradnl"/>
      </w:rPr>
      <w:t>Salud, ciudad, arquitectura: El cuerpo, la higiene y los cuidados</w:t>
    </w:r>
  </w:p>
  <w:p w14:paraId="4516FFC1" w14:textId="77777777" w:rsidR="00205B0C" w:rsidRDefault="00205B0C" w:rsidP="00205B0C">
    <w:pPr>
      <w:pStyle w:val="Didefault"/>
      <w:jc w:val="right"/>
      <w:rPr>
        <w:rFonts w:asciiTheme="minorHAnsi" w:hAnsiTheme="minorHAnsi" w:cstheme="minorHAnsi"/>
        <w:iCs/>
        <w:color w:val="FFA200"/>
        <w:sz w:val="18"/>
        <w:szCs w:val="18"/>
        <w:lang w:val="es-ES_tradnl"/>
      </w:rPr>
    </w:pPr>
    <w:r>
      <w:rPr>
        <w:rFonts w:asciiTheme="minorHAnsi" w:hAnsiTheme="minorHAnsi" w:cstheme="minorHAnsi"/>
        <w:iCs/>
        <w:color w:val="FFA200"/>
        <w:sz w:val="18"/>
        <w:szCs w:val="18"/>
        <w:lang w:val="es-ES_tradnl"/>
      </w:rPr>
      <w:t>Granada, Escuela Técnica Superior de Arquitectura, 2-4 junio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0D3DC1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201617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CC7DD2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DC402AE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5135EA6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69A7FD4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2B570F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D37381A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773044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FF555D7"/>
    <w:multiLevelType w:val="hybridMultilevel"/>
    <w:tmpl w:val="A3F2238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C7277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D057B50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45762A5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C6B3B48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34236BB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97E5834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BE61EB5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3AD0C88"/>
    <w:multiLevelType w:val="hybridMultilevel"/>
    <w:tmpl w:val="F886C9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609DB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AB3721A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EE027CC"/>
    <w:multiLevelType w:val="hybridMultilevel"/>
    <w:tmpl w:val="EABE10C4"/>
    <w:lvl w:ilvl="0" w:tplc="CF08D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1844693">
    <w:abstractNumId w:val="13"/>
  </w:num>
  <w:num w:numId="2" w16cid:durableId="2113668873">
    <w:abstractNumId w:val="0"/>
  </w:num>
  <w:num w:numId="3" w16cid:durableId="456266032">
    <w:abstractNumId w:val="10"/>
  </w:num>
  <w:num w:numId="4" w16cid:durableId="1180462621">
    <w:abstractNumId w:val="19"/>
  </w:num>
  <w:num w:numId="5" w16cid:durableId="1196774422">
    <w:abstractNumId w:val="15"/>
  </w:num>
  <w:num w:numId="6" w16cid:durableId="1636061494">
    <w:abstractNumId w:val="2"/>
  </w:num>
  <w:num w:numId="7" w16cid:durableId="6756795">
    <w:abstractNumId w:val="11"/>
  </w:num>
  <w:num w:numId="8" w16cid:durableId="136994632">
    <w:abstractNumId w:val="7"/>
  </w:num>
  <w:num w:numId="9" w16cid:durableId="205871885">
    <w:abstractNumId w:val="18"/>
  </w:num>
  <w:num w:numId="10" w16cid:durableId="950354872">
    <w:abstractNumId w:val="6"/>
  </w:num>
  <w:num w:numId="11" w16cid:durableId="190383816">
    <w:abstractNumId w:val="12"/>
  </w:num>
  <w:num w:numId="12" w16cid:durableId="1314917957">
    <w:abstractNumId w:val="16"/>
  </w:num>
  <w:num w:numId="13" w16cid:durableId="625814735">
    <w:abstractNumId w:val="5"/>
  </w:num>
  <w:num w:numId="14" w16cid:durableId="2023820195">
    <w:abstractNumId w:val="3"/>
  </w:num>
  <w:num w:numId="15" w16cid:durableId="337269416">
    <w:abstractNumId w:val="1"/>
  </w:num>
  <w:num w:numId="16" w16cid:durableId="2067338202">
    <w:abstractNumId w:val="4"/>
  </w:num>
  <w:num w:numId="17" w16cid:durableId="1434059288">
    <w:abstractNumId w:val="14"/>
  </w:num>
  <w:num w:numId="18" w16cid:durableId="568617422">
    <w:abstractNumId w:val="8"/>
  </w:num>
  <w:num w:numId="19" w16cid:durableId="1351764037">
    <w:abstractNumId w:val="20"/>
  </w:num>
  <w:num w:numId="20" w16cid:durableId="1837458377">
    <w:abstractNumId w:val="17"/>
  </w:num>
  <w:num w:numId="21" w16cid:durableId="37775108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removePersonalInformation/>
  <w:removeDateAndTime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noLineBreaksAfter w:lang="ja-JP" w:val="‘“(〔[{〈《「『【⦅〘〖«〝︵︷︹︻︽︿﹁﹃﹇﹙﹛﹝｢"/>
  <w:noLineBreaksBefore w:lang="ja-JP" w:val="’”)〕]}〉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IwtTS2sDA3tDA1tjRS0lEKTi0uzszPAykwrAUAYG7NFiwAAAA="/>
  </w:docVars>
  <w:rsids>
    <w:rsidRoot w:val="00AE2971"/>
    <w:rsid w:val="00201955"/>
    <w:rsid w:val="00205B0C"/>
    <w:rsid w:val="00224A2A"/>
    <w:rsid w:val="00AE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14DF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styleId="Hipervnculo">
    <w:name w:val="Hyperlink"/>
    <w:rPr>
      <w:u w:val="single"/>
    </w:rPr>
  </w:style>
  <w:style w:type="character" w:customStyle="1" w:styleId="Nessuno">
    <w:name w:val="Nessuno"/>
  </w:style>
  <w:style w:type="character" w:customStyle="1" w:styleId="Hyperlink0">
    <w:name w:val="Hyperlink.0"/>
    <w:rPr>
      <w:rFonts w:ascii="Garamond" w:eastAsia="Garamond" w:hAnsi="Garamond" w:cs="Garamond"/>
      <w:sz w:val="24"/>
      <w:szCs w:val="24"/>
      <w:u w:val="single"/>
      <w:lang w:val="it-IT"/>
    </w:rPr>
  </w:style>
  <w:style w:type="character" w:customStyle="1" w:styleId="Caracteresdenotaalpie">
    <w:name w:val="Caracteres de nota al pie"/>
  </w:style>
  <w:style w:type="character" w:styleId="Refdenotaalpie">
    <w:name w:val="footnote reference"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character" w:customStyle="1" w:styleId="Caracteresdenotafinal">
    <w:name w:val="Caracteres de nota final"/>
  </w:style>
  <w:style w:type="paragraph" w:customStyle="1" w:styleId="Ttulo1">
    <w:name w:val="Títul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customStyle="1" w:styleId="Descripcin1">
    <w:name w:val="Descripció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Intestazioneepidipagina">
    <w:name w:val="Intestazione e piè di pagina"/>
    <w:rPr>
      <w:rFonts w:ascii="Helvetica Neue" w:eastAsia="Arial Unicode MS" w:hAnsi="Helvetica Neue" w:cs="Arial Unicode MS"/>
      <w:color w:val="000000"/>
      <w:sz w:val="24"/>
      <w:szCs w:val="24"/>
      <w:lang w:val="en-GB" w:eastAsia="zh-CN" w:bidi="hi-IN"/>
    </w:rPr>
  </w:style>
  <w:style w:type="paragraph" w:customStyle="1" w:styleId="Didefault">
    <w:name w:val="Di default"/>
    <w:rPr>
      <w:rFonts w:ascii="Helvetica Neue" w:eastAsia="Arial Unicode MS" w:hAnsi="Helvetica Neue" w:cs="Arial Unicode MS"/>
      <w:color w:val="000000"/>
      <w:kern w:val="2"/>
      <w:sz w:val="22"/>
      <w:szCs w:val="22"/>
      <w:u w:color="000000"/>
      <w:lang w:val="it-IT" w:eastAsia="zh-CN" w:bidi="hi-IN"/>
    </w:rPr>
  </w:style>
  <w:style w:type="paragraph" w:customStyle="1" w:styleId="Notaapidipagina">
    <w:name w:val="Nota a piè di pagina"/>
    <w:rPr>
      <w:rFonts w:ascii="Helvetica Neue" w:eastAsia="Helvetica Neue" w:hAnsi="Helvetica Neue" w:cs="Helvetica Neue"/>
      <w:color w:val="000000"/>
      <w:kern w:val="2"/>
      <w:sz w:val="22"/>
      <w:szCs w:val="22"/>
      <w:u w:color="000000"/>
      <w:lang w:val="it-IT" w:eastAsia="zh-CN" w:bidi="hi-IN"/>
    </w:rPr>
  </w:style>
  <w:style w:type="paragraph" w:styleId="Textonotapie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link w:val="EncabezadoC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Mencinsinresolver1">
    <w:name w:val="Mención sin resolver1"/>
    <w:uiPriority w:val="99"/>
    <w:semiHidden/>
    <w:unhideWhenUsed/>
    <w:rPr>
      <w:color w:val="605E5C"/>
      <w:shd w:val="clear" w:color="auto" w:fill="E1DFDD"/>
    </w:rPr>
  </w:style>
  <w:style w:type="character" w:styleId="Hipervnculovisitado">
    <w:name w:val="FollowedHyperlink"/>
    <w:uiPriority w:val="99"/>
    <w:semiHidden/>
    <w:unhideWhenUsed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pPr>
      <w:suppressAutoHyphens w:val="0"/>
      <w:spacing w:after="120" w:line="288" w:lineRule="auto"/>
      <w:ind w:left="720"/>
      <w:contextualSpacing/>
      <w:jc w:val="both"/>
    </w:pPr>
    <w:rPr>
      <w:rFonts w:ascii="Arial" w:hAnsi="Arial"/>
      <w:sz w:val="20"/>
      <w:szCs w:val="20"/>
      <w:lang w:eastAsia="es-ES"/>
    </w:rPr>
  </w:style>
  <w:style w:type="character" w:customStyle="1" w:styleId="PiedepginaCar">
    <w:name w:val="Pie de página Car"/>
    <w:link w:val="Piedepgina"/>
    <w:uiPriority w:val="99"/>
    <w:rPr>
      <w:sz w:val="24"/>
      <w:szCs w:val="24"/>
      <w:lang w:val="en-US" w:eastAsia="zh-CN"/>
    </w:rPr>
  </w:style>
  <w:style w:type="character" w:customStyle="1" w:styleId="EncabezadoCar">
    <w:name w:val="Encabezado Car"/>
    <w:link w:val="Encabezado"/>
    <w:uiPriority w:val="99"/>
    <w:rPr>
      <w:sz w:val="24"/>
      <w:szCs w:val="24"/>
      <w:lang w:val="en-US" w:eastAsia="zh-CN"/>
    </w:rPr>
  </w:style>
  <w:style w:type="character" w:styleId="Mencinsinresolver">
    <w:name w:val="Unresolved Mention"/>
    <w:basedOn w:val="Fuentedeprrafopredeter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06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nlinelibrary.wiley.com/doi/10.1111/polp.12005/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1611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10452</CharactersWithSpaces>
  <SharedDoc>false</SharedDoc>
  <HLinks>
    <vt:vector size="12" baseType="variant">
      <vt:variant>
        <vt:i4>5308526</vt:i4>
      </vt:variant>
      <vt:variant>
        <vt:i4>3</vt:i4>
      </vt:variant>
      <vt:variant>
        <vt:i4>0</vt:i4>
      </vt:variant>
      <vt:variant>
        <vt:i4>5</vt:i4>
      </vt:variant>
      <vt:variant>
        <vt:lpwstr>mailto:congresso@storiaurbana.org</vt:lpwstr>
      </vt:variant>
      <vt:variant>
        <vt:lpwstr/>
      </vt:variant>
      <vt:variant>
        <vt:i4>11</vt:i4>
      </vt:variant>
      <vt:variant>
        <vt:i4>0</vt:i4>
      </vt:variant>
      <vt:variant>
        <vt:i4>0</vt:i4>
      </vt:variant>
      <vt:variant>
        <vt:i4>5</vt:i4>
      </vt:variant>
      <vt:variant>
        <vt:lpwstr>http://hdl.handle.net/10481/55336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2026-09-25T07:41:00Z</dcterms:created>
  <dcterms:modified xsi:type="dcterms:W3CDTF">2026-09-25T07:41:00Z</dcterms:modified>
</cp:coreProperties>
</file>