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>
      <w:pPr>
        <w:pStyle w:val="Didefault"/>
        <w:rPr>
          <w:rFonts w:ascii="Garamond" w:hAnsi="Garamond" w:cs="Garamond"/>
          <w:iCs/>
          <w:color w:val="CE665F"/>
        </w:rPr>
      </w:pPr>
    </w:p>
    <w:p>
      <w:pPr>
        <w:pStyle w:val="Didefault"/>
        <w:rPr>
          <w:rFonts w:ascii="Garamond" w:hAnsi="Garamond" w:cs="Garamond"/>
          <w:iCs/>
          <w:color w:val="CE665F"/>
        </w:rPr>
      </w:pPr>
    </w:p>
    <w:p>
      <w:pPr>
        <w:pStyle w:val="Didefault"/>
        <w:rPr>
          <w:rFonts w:ascii="Garamond" w:hAnsi="Garamond" w:cs="Garamond"/>
          <w:iCs/>
          <w:color w:val="CE665F"/>
        </w:rPr>
      </w:pPr>
    </w:p>
    <w:p>
      <w:pPr>
        <w:pStyle w:val="Didefault"/>
        <w:rPr>
          <w:rFonts w:asciiTheme="minorHAnsi" w:hAnsiTheme="minorHAnsi" w:cstheme="minorHAnsi"/>
          <w:b/>
          <w:iCs/>
          <w:color w:val="FFA200"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iCs/>
          <w:color w:val="FFA200"/>
          <w:sz w:val="28"/>
          <w:szCs w:val="28"/>
          <w:lang w:val="es-ES"/>
        </w:rPr>
        <w:t>Manual de estilo Chicago: ejemplos</w:t>
      </w:r>
    </w:p>
    <w:p>
      <w:pPr>
        <w:pStyle w:val="Didefault"/>
        <w:rPr>
          <w:rFonts w:asciiTheme="minorHAnsi" w:hAnsiTheme="minorHAnsi" w:cstheme="minorHAnsi"/>
          <w:iCs/>
          <w:color w:val="auto"/>
          <w:lang w:val="es-ES"/>
        </w:rPr>
      </w:pPr>
      <w:r>
        <w:rPr>
          <w:rFonts w:asciiTheme="minorHAnsi" w:hAnsiTheme="minorHAnsi" w:cstheme="minorHAnsi"/>
          <w:iCs/>
          <w:color w:val="auto"/>
          <w:lang w:val="es-ES"/>
        </w:rPr>
        <w:t>A continuación, se detalla mediante ejemplos cómo citar en nota a pie de página algunas de las referencias más comunes.</w:t>
      </w:r>
    </w:p>
    <w:p>
      <w:pPr>
        <w:pStyle w:val="Didefault"/>
        <w:rPr>
          <w:rFonts w:asciiTheme="minorHAnsi" w:hAnsiTheme="minorHAnsi" w:cstheme="minorHAnsi"/>
          <w:iCs/>
          <w:color w:val="auto"/>
          <w:lang w:val="es-ES"/>
        </w:rPr>
      </w:pPr>
      <w:r>
        <w:rPr>
          <w:rFonts w:asciiTheme="minorHAnsi" w:hAnsiTheme="minorHAnsi" w:cstheme="minorHAnsi"/>
          <w:iCs/>
          <w:color w:val="auto"/>
          <w:lang w:val="es-ES"/>
        </w:rPr>
        <w:t>Al final de este documento se incluye un epígrafe de notas adicionales aclaratorias.</w:t>
      </w:r>
    </w:p>
    <w:p>
      <w:pPr>
        <w:pStyle w:val="Didefault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iCs/>
          <w:color w:val="auto"/>
          <w:lang w:val="es-ES"/>
        </w:rPr>
        <w:t xml:space="preserve">Se recuerda que el estilo Chicago prescinde de expresiones como </w:t>
      </w:r>
      <w:proofErr w:type="spellStart"/>
      <w:r>
        <w:rPr>
          <w:rFonts w:asciiTheme="minorHAnsi" w:hAnsiTheme="minorHAnsi" w:cstheme="minorHAnsi"/>
          <w:i/>
          <w:lang w:val="es-ES"/>
        </w:rPr>
        <w:t>op</w:t>
      </w:r>
      <w:proofErr w:type="spellEnd"/>
      <w:r>
        <w:rPr>
          <w:rFonts w:asciiTheme="minorHAnsi" w:hAnsiTheme="minorHAnsi" w:cstheme="minorHAnsi"/>
          <w:i/>
          <w:lang w:val="es-ES"/>
        </w:rPr>
        <w:t>. cit</w:t>
      </w:r>
      <w:r>
        <w:rPr>
          <w:rFonts w:asciiTheme="minorHAnsi" w:hAnsiTheme="minorHAnsi" w:cstheme="minorHAnsi"/>
          <w:lang w:val="es-ES"/>
        </w:rPr>
        <w:t xml:space="preserve">., </w:t>
      </w:r>
      <w:r>
        <w:rPr>
          <w:rFonts w:asciiTheme="minorHAnsi" w:hAnsiTheme="minorHAnsi" w:cstheme="minorHAnsi"/>
          <w:i/>
          <w:lang w:val="es-ES"/>
        </w:rPr>
        <w:t>id</w:t>
      </w:r>
      <w:r>
        <w:rPr>
          <w:rFonts w:asciiTheme="minorHAnsi" w:hAnsiTheme="minorHAnsi" w:cstheme="minorHAnsi"/>
          <w:lang w:val="es-ES"/>
        </w:rPr>
        <w:t xml:space="preserve">. o </w:t>
      </w:r>
      <w:r>
        <w:rPr>
          <w:rFonts w:asciiTheme="minorHAnsi" w:hAnsiTheme="minorHAnsi" w:cstheme="minorHAnsi"/>
          <w:i/>
          <w:lang w:val="es-ES"/>
        </w:rPr>
        <w:t>ibid</w:t>
      </w:r>
      <w:r>
        <w:rPr>
          <w:rFonts w:asciiTheme="minorHAnsi" w:hAnsiTheme="minorHAnsi" w:cstheme="minorHAnsi"/>
          <w:lang w:val="es-ES"/>
        </w:rPr>
        <w:t xml:space="preserve">., y que, por tanto, es fundamental diferenciar entre la </w:t>
      </w:r>
      <w:r>
        <w:rPr>
          <w:rFonts w:asciiTheme="minorHAnsi" w:hAnsiTheme="minorHAnsi" w:cstheme="minorHAnsi"/>
          <w:i/>
          <w:lang w:val="es-ES"/>
        </w:rPr>
        <w:t>referencia completa</w:t>
      </w:r>
      <w:r>
        <w:rPr>
          <w:rFonts w:asciiTheme="minorHAnsi" w:hAnsiTheme="minorHAnsi" w:cstheme="minorHAnsi"/>
          <w:lang w:val="es-ES"/>
        </w:rPr>
        <w:t xml:space="preserve"> en nota a pie de página (cuando la referencia se escribe por primera vez y contiene toda la información) y la </w:t>
      </w:r>
      <w:r>
        <w:rPr>
          <w:rFonts w:asciiTheme="minorHAnsi" w:hAnsiTheme="minorHAnsi" w:cstheme="minorHAnsi"/>
          <w:i/>
          <w:lang w:val="es-ES"/>
        </w:rPr>
        <w:t>referencia abreviada</w:t>
      </w:r>
      <w:r>
        <w:rPr>
          <w:rFonts w:asciiTheme="minorHAnsi" w:hAnsiTheme="minorHAnsi" w:cstheme="minorHAnsi"/>
          <w:lang w:val="es-ES"/>
        </w:rPr>
        <w:t xml:space="preserve"> en nota a pie de página (cuando la referencia se incluye por segunda, tercera o enésima vez). A ello atienden los siguientes ejemplos.</w:t>
      </w:r>
    </w:p>
    <w:p>
      <w:pPr>
        <w:pStyle w:val="Didefault"/>
        <w:rPr>
          <w:rFonts w:asciiTheme="minorHAnsi" w:hAnsiTheme="minorHAnsi" w:cstheme="minorHAnsi"/>
          <w:b/>
          <w:iCs/>
          <w:color w:val="C5A95B"/>
        </w:rPr>
      </w:pPr>
    </w:p>
    <w:p>
      <w:pPr>
        <w:pStyle w:val="Didefault"/>
        <w:rPr>
          <w:rFonts w:asciiTheme="minorHAnsi" w:hAnsiTheme="minorHAnsi" w:cstheme="minorHAnsi"/>
          <w:color w:val="auto"/>
          <w:lang w:val="es-ES"/>
        </w:rPr>
      </w:pPr>
      <w:r>
        <w:rPr>
          <w:rFonts w:asciiTheme="minorHAnsi" w:hAnsiTheme="minorHAnsi" w:cstheme="minorHAnsi"/>
          <w:b/>
          <w:iCs/>
          <w:color w:val="auto"/>
        </w:rPr>
        <w:t>Libro con un autor</w:t>
      </w:r>
    </w:p>
    <w:p>
      <w:pPr>
        <w:pStyle w:val="Prrafodelista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Lluís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Duch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Mito, interpretación y cultura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(Barcelona: Herder, 1998), 56-58.</w:t>
      </w:r>
    </w:p>
    <w:p>
      <w:pPr>
        <w:pStyle w:val="Prrafodelista"/>
        <w:numPr>
          <w:ilvl w:val="0"/>
          <w:numId w:val="1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Duch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Mito</w:t>
      </w:r>
      <w:r>
        <w:rPr>
          <w:rFonts w:asciiTheme="minorHAnsi" w:hAnsiTheme="minorHAnsi" w:cstheme="minorHAnsi"/>
          <w:sz w:val="22"/>
          <w:szCs w:val="22"/>
          <w:lang w:val="es-ES"/>
        </w:rPr>
        <w:t>…, 15.</w:t>
      </w:r>
    </w:p>
    <w:p>
      <w:pPr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es-ES"/>
        </w:rPr>
        <w:t>Si se trata de un libro traducido, véase en la página siguiente "Libro con autor y traductor".</w:t>
      </w:r>
    </w:p>
    <w:p>
      <w:pPr>
        <w:pStyle w:val="Didefault"/>
        <w:rPr>
          <w:rFonts w:asciiTheme="minorHAnsi" w:hAnsiTheme="minorHAnsi" w:cstheme="minorHAnsi"/>
          <w:iCs/>
          <w:color w:val="auto"/>
          <w:lang w:val="es-ES"/>
        </w:rPr>
      </w:pPr>
    </w:p>
    <w:p>
      <w:pPr>
        <w:pStyle w:val="Didefault"/>
        <w:rPr>
          <w:rFonts w:asciiTheme="minorHAnsi" w:hAnsiTheme="minorHAnsi" w:cstheme="minorHAnsi"/>
          <w:b/>
          <w:iCs/>
          <w:color w:val="auto"/>
          <w:lang w:val="es-ES"/>
        </w:rPr>
      </w:pPr>
      <w:r>
        <w:rPr>
          <w:rFonts w:asciiTheme="minorHAnsi" w:hAnsiTheme="minorHAnsi" w:cstheme="minorHAnsi"/>
          <w:b/>
          <w:iCs/>
          <w:color w:val="auto"/>
          <w:lang w:val="es-ES"/>
        </w:rPr>
        <w:t>Libro con dos o tres autores</w:t>
      </w:r>
    </w:p>
    <w:p>
      <w:pPr>
        <w:pStyle w:val="Prrafodelista"/>
        <w:numPr>
          <w:ilvl w:val="0"/>
          <w:numId w:val="2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Rafael Casado Martínez, Antonio Herrero Elordi y Juan Suárez Ávila,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Lo que no es vivienda en la vivienda social: propuesta sobre una regulación arquitectónica de los espacios anejos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(Sevilla: Consejería de Fomento y Vivienda, 2014), 8.</w:t>
      </w:r>
    </w:p>
    <w:p>
      <w:pPr>
        <w:pStyle w:val="Prrafodelista"/>
        <w:numPr>
          <w:ilvl w:val="0"/>
          <w:numId w:val="2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Casado Martínez, Herrero Elordi y Suárez Ávila,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Lo que no es vivienda</w:t>
      </w:r>
      <w:r>
        <w:rPr>
          <w:rFonts w:asciiTheme="minorHAnsi" w:hAnsiTheme="minorHAnsi" w:cstheme="minorHAnsi"/>
          <w:sz w:val="22"/>
          <w:szCs w:val="22"/>
          <w:lang w:val="es-ES"/>
        </w:rPr>
        <w:t>…, 16.</w:t>
      </w:r>
    </w:p>
    <w:p>
      <w:pPr>
        <w:pStyle w:val="Didefault"/>
        <w:rPr>
          <w:rFonts w:asciiTheme="minorHAnsi" w:hAnsiTheme="minorHAnsi" w:cstheme="minorHAnsi"/>
          <w:lang w:val="es-ES"/>
        </w:rPr>
      </w:pPr>
    </w:p>
    <w:p>
      <w:pPr>
        <w:pStyle w:val="Didefault"/>
        <w:rPr>
          <w:rFonts w:asciiTheme="minorHAnsi" w:hAnsiTheme="minorHAnsi" w:cstheme="minorHAnsi"/>
          <w:b/>
          <w:iCs/>
          <w:color w:val="auto"/>
          <w:lang w:val="es-ES"/>
        </w:rPr>
      </w:pPr>
      <w:r>
        <w:rPr>
          <w:rFonts w:asciiTheme="minorHAnsi" w:hAnsiTheme="minorHAnsi" w:cstheme="minorHAnsi"/>
          <w:b/>
          <w:iCs/>
          <w:color w:val="auto"/>
          <w:lang w:val="es-ES"/>
        </w:rPr>
        <w:t>Libro con cuatro o más autores</w:t>
      </w:r>
    </w:p>
    <w:p>
      <w:pPr>
        <w:pStyle w:val="Prrafodelista"/>
        <w:numPr>
          <w:ilvl w:val="0"/>
          <w:numId w:val="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 xml:space="preserve">Se hace uso de la 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es-ES"/>
        </w:rPr>
        <w:t>locución latina et al.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José Manuel Bustos Gisbert et al.,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La fosilización en el aprendizaje de segundas lenguas: el buen aprendiz </w:t>
      </w:r>
      <w:r>
        <w:rPr>
          <w:rFonts w:asciiTheme="minorHAnsi" w:hAnsiTheme="minorHAnsi" w:cstheme="minorHAnsi"/>
          <w:sz w:val="22"/>
          <w:szCs w:val="22"/>
          <w:lang w:val="es-ES"/>
        </w:rPr>
        <w:t>(Salamanca: Luso-Española de Ediciones, 2006), 123.</w:t>
      </w:r>
    </w:p>
    <w:p>
      <w:pPr>
        <w:pStyle w:val="Prrafodelista"/>
        <w:numPr>
          <w:ilvl w:val="0"/>
          <w:numId w:val="3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Se hace uso de la locución latina et al.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Bustos Gisbert et al.,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La fosilización</w:t>
      </w:r>
      <w:r>
        <w:rPr>
          <w:rFonts w:asciiTheme="minorHAnsi" w:hAnsiTheme="minorHAnsi" w:cstheme="minorHAnsi"/>
          <w:sz w:val="22"/>
          <w:szCs w:val="22"/>
          <w:lang w:val="es-ES"/>
        </w:rPr>
        <w:t>…, 78.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color w:val="C5A95B"/>
          <w:kern w:val="2"/>
          <w:sz w:val="22"/>
          <w:szCs w:val="22"/>
          <w:u w:color="000000"/>
          <w:lang w:val="es-ES" w:eastAsia="zh-CN" w:bidi="hi-IN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Libro con editor(es), compilador(es) o coordinador(es) en lugar de autor</w:t>
      </w:r>
    </w:p>
    <w:p>
      <w:pPr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 xml:space="preserve">Según el caso, se empleará la abreviatura: ed., eds., </w:t>
      </w:r>
      <w:proofErr w:type="spellStart"/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comp.</w:t>
      </w:r>
      <w:proofErr w:type="spellEnd"/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comps</w:t>
      </w:r>
      <w:proofErr w:type="spellEnd"/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 xml:space="preserve">., coord., </w:t>
      </w:r>
      <w:proofErr w:type="spellStart"/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coords</w:t>
      </w:r>
      <w:proofErr w:type="spellEnd"/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.</w:t>
      </w:r>
    </w:p>
    <w:p>
      <w:pPr>
        <w:pStyle w:val="Prrafodelista"/>
        <w:numPr>
          <w:ilvl w:val="0"/>
          <w:numId w:val="4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Antonio Notario Ruiz, ed.,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Contrapuntos estéticos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(Salamanca: Ediciones Universidad de Salamanca, 2005), 55.</w:t>
      </w:r>
    </w:p>
    <w:p>
      <w:pPr>
        <w:pStyle w:val="Prrafodelista"/>
        <w:numPr>
          <w:ilvl w:val="0"/>
          <w:numId w:val="4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Notario Ruiz,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Contrapuntos</w:t>
      </w:r>
      <w:r>
        <w:rPr>
          <w:rFonts w:asciiTheme="minorHAnsi" w:hAnsiTheme="minorHAnsi" w:cstheme="minorHAnsi"/>
          <w:sz w:val="22"/>
          <w:szCs w:val="22"/>
          <w:lang w:val="es-ES"/>
        </w:rPr>
        <w:t>…,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"/>
        </w:rPr>
        <w:t>23.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i/>
          <w:sz w:val="22"/>
          <w:szCs w:val="22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Libro con autor y editor</w:t>
      </w:r>
    </w:p>
    <w:p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Salvador Fernández Ramírez,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La enseñanza de la gramática y la literatura</w:t>
      </w:r>
      <w:r>
        <w:rPr>
          <w:rFonts w:asciiTheme="minorHAnsi" w:hAnsiTheme="minorHAnsi" w:cstheme="minorHAnsi"/>
          <w:sz w:val="22"/>
          <w:szCs w:val="22"/>
          <w:lang w:val="es-ES"/>
        </w:rPr>
        <w:t>, ed. por José Polo (Madrid: Arco/Libros, 1985), 145-146.</w:t>
      </w:r>
    </w:p>
    <w:p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Fernández Ramírez,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La enseñanza</w:t>
      </w:r>
      <w:r>
        <w:rPr>
          <w:rFonts w:asciiTheme="minorHAnsi" w:hAnsiTheme="minorHAnsi" w:cstheme="minorHAnsi"/>
          <w:sz w:val="22"/>
          <w:szCs w:val="22"/>
          <w:lang w:val="es-ES"/>
        </w:rPr>
        <w:t>…, 33.</w:t>
      </w:r>
    </w:p>
    <w:p>
      <w:pPr>
        <w:rPr>
          <w:rFonts w:asciiTheme="minorHAnsi" w:hAnsiTheme="minorHAnsi" w:cstheme="minorHAnsi"/>
          <w:sz w:val="22"/>
          <w:szCs w:val="22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lastRenderedPageBreak/>
        <w:t>Libro con autor y traductor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Las referencias a libros traducidos deben mencionar el traductor(es).</w:t>
      </w:r>
    </w:p>
    <w:p>
      <w:pPr>
        <w:pStyle w:val="Prrafodelista"/>
        <w:numPr>
          <w:ilvl w:val="0"/>
          <w:numId w:val="6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Bruno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Zevi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Saber ver la arquitectura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, trad. por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Cino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Calcaprina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y Jesús Bermejo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Goday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(Barcelona: Poseidón, 1991), 62.</w:t>
      </w:r>
    </w:p>
    <w:p>
      <w:pPr>
        <w:pStyle w:val="Prrafodelista"/>
        <w:numPr>
          <w:ilvl w:val="0"/>
          <w:numId w:val="6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Zevi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Saber</w:t>
      </w:r>
      <w:r>
        <w:rPr>
          <w:rFonts w:asciiTheme="minorHAnsi" w:hAnsiTheme="minorHAnsi" w:cstheme="minorHAnsi"/>
          <w:sz w:val="22"/>
          <w:szCs w:val="22"/>
          <w:lang w:val="es-ES"/>
        </w:rPr>
        <w:t>…, 74.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Libro electrónico</w:t>
      </w:r>
    </w:p>
    <w:p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Si no existen números de páginas, se puede incluir el título de sección o capítulo u otro dato identificativo.</w:t>
      </w:r>
    </w:p>
    <w:p>
      <w:pPr>
        <w:pStyle w:val="Prrafodelista"/>
        <w:numPr>
          <w:ilvl w:val="0"/>
          <w:numId w:val="7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Jane Austen,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Pride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 and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Prejudice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(Nueva York: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Penguin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Classics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>, 2008), edición en PDF, cap. 23.</w:t>
      </w:r>
    </w:p>
    <w:p>
      <w:pPr>
        <w:pStyle w:val="Prrafodelista"/>
        <w:numPr>
          <w:ilvl w:val="0"/>
          <w:numId w:val="7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Austen, </w:t>
      </w:r>
      <w:r>
        <w:rPr>
          <w:rFonts w:asciiTheme="minorHAnsi" w:hAnsiTheme="minorHAnsi" w:cstheme="minorHAnsi"/>
          <w:i/>
          <w:sz w:val="22"/>
          <w:szCs w:val="22"/>
        </w:rPr>
        <w:t>Pride and Prejudice</w:t>
      </w:r>
      <w:r>
        <w:rPr>
          <w:rFonts w:asciiTheme="minorHAnsi" w:hAnsiTheme="minorHAnsi" w:cstheme="minorHAnsi"/>
          <w:sz w:val="22"/>
          <w:szCs w:val="22"/>
        </w:rPr>
        <w:t>, cap. 23.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Libro consultado en línea</w:t>
      </w:r>
    </w:p>
    <w:p>
      <w:pPr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En los libros consultados en línea hay que añadir el URL. Si no existen números de páginas, se puede incluir el título de sección o capítulo u otro dato identificativo.</w:t>
      </w:r>
    </w:p>
    <w:p>
      <w:pPr>
        <w:pStyle w:val="Prrafodelista"/>
        <w:numPr>
          <w:ilvl w:val="0"/>
          <w:numId w:val="8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Salvador Gutiérrez Ordóñez,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Lingüística y semántica: aproximación funcional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(Oviedo: Universidad de Oviedo, 1981), http://www.gruposincom.es/publicaciones-de-salvador-gutierrezordonez.</w:t>
      </w:r>
    </w:p>
    <w:p>
      <w:pPr>
        <w:pStyle w:val="Prrafodelista"/>
        <w:numPr>
          <w:ilvl w:val="0"/>
          <w:numId w:val="8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i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Gutiérrez Ordóñez,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Lingüística y semántica.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it-IT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it-IT" w:eastAsia="zh-CN" w:bidi="hi-IN"/>
        </w:rPr>
        <w:t>Capítulo de un libro editado</w:t>
      </w:r>
    </w:p>
    <w:p>
      <w:pPr>
        <w:pStyle w:val="Prrafodelista"/>
        <w:numPr>
          <w:ilvl w:val="0"/>
          <w:numId w:val="9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El número de página indica la localización de la cita textual o la idea</w:t>
      </w:r>
      <w:r>
        <w:rPr>
          <w:rFonts w:asciiTheme="minorHAnsi" w:hAnsiTheme="minorHAnsi" w:cstheme="minorHAnsi"/>
          <w:color w:val="7F7F7F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dentro del capítulo.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Josefina Gómez Mendoza, "Ecología urbana y paisaje de la ciudad", en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La ciudad del futuro</w:t>
      </w:r>
      <w:r>
        <w:rPr>
          <w:rFonts w:asciiTheme="minorHAnsi" w:hAnsiTheme="minorHAnsi" w:cstheme="minorHAnsi"/>
          <w:sz w:val="22"/>
          <w:szCs w:val="22"/>
          <w:lang w:val="es-ES"/>
        </w:rPr>
        <w:t>, ed. por Antonio Bonet Correa (Madrid: Instituto de España, 2009), 180.</w:t>
      </w:r>
    </w:p>
    <w:p>
      <w:pPr>
        <w:pStyle w:val="Prrafodelista"/>
        <w:numPr>
          <w:ilvl w:val="0"/>
          <w:numId w:val="9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El número de página indica la localización de la cita textual o la idea</w:t>
      </w:r>
      <w:r>
        <w:rPr>
          <w:rFonts w:asciiTheme="minorHAnsi" w:hAnsiTheme="minorHAnsi" w:cstheme="minorHAnsi"/>
          <w:color w:val="7F7F7F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dentro del capítulo.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Gómez Mendoza, "Ecología urbana…", 178.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Artículo de revista impresa</w:t>
      </w:r>
    </w:p>
    <w:p>
      <w:pPr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Estos ejemplos incluyen el número del volumen y el de la entrega. El número del volumen (en redonda) sigue al nombre de la revista (en cursiva), sin ninguna puntuación entre ambos.</w:t>
      </w:r>
    </w:p>
    <w:p>
      <w:pPr>
        <w:pStyle w:val="Prrafodelista"/>
        <w:numPr>
          <w:ilvl w:val="0"/>
          <w:numId w:val="10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El número de página indica la localización de la cita textual o la idea</w:t>
      </w:r>
      <w:r>
        <w:rPr>
          <w:rFonts w:asciiTheme="minorHAnsi" w:hAnsiTheme="minorHAnsi" w:cstheme="minorHAnsi"/>
          <w:color w:val="7F7F7F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dentro del artículo.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María José Hernández Guerrero, "Presencia y utilización de la traducción en la prensa española",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Meta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56, n.º 1 (2011): 112.</w:t>
      </w:r>
    </w:p>
    <w:p>
      <w:pPr>
        <w:pStyle w:val="Prrafodelista"/>
        <w:numPr>
          <w:ilvl w:val="0"/>
          <w:numId w:val="10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El número de página indica la localización de la cita textual o la idea dentro del artículo.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Hernández Guerrero, "Presencia y utilización…", 113.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it-IT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it-IT" w:eastAsia="zh-CN" w:bidi="hi-IN"/>
        </w:rPr>
        <w:t>Artículo de revista electrónica</w:t>
      </w:r>
    </w:p>
    <w:p>
      <w:pPr>
        <w:pStyle w:val="Prrafodelista"/>
        <w:numPr>
          <w:ilvl w:val="0"/>
          <w:numId w:val="11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Guadalupe García Correa, "Security, Migration, and the Economy in the Texas-Tamaulipas Border Region: The 'Real' Effects of Mexico’s Drug War", </w:t>
      </w:r>
      <w:r>
        <w:rPr>
          <w:rFonts w:asciiTheme="minorHAnsi" w:hAnsiTheme="minorHAnsi" w:cstheme="minorHAnsi"/>
          <w:i/>
          <w:sz w:val="22"/>
          <w:szCs w:val="22"/>
        </w:rPr>
        <w:t xml:space="preserve">Politics &amp; Policy </w:t>
      </w:r>
      <w:r>
        <w:rPr>
          <w:rFonts w:asciiTheme="minorHAnsi" w:hAnsiTheme="minorHAnsi" w:cstheme="minorHAnsi"/>
          <w:sz w:val="22"/>
          <w:szCs w:val="22"/>
        </w:rPr>
        <w:t>41, n.º 1 (</w:t>
      </w:r>
      <w:proofErr w:type="spellStart"/>
      <w:r>
        <w:rPr>
          <w:rFonts w:asciiTheme="minorHAnsi" w:hAnsiTheme="minorHAnsi" w:cstheme="minorHAnsi"/>
          <w:sz w:val="22"/>
          <w:szCs w:val="22"/>
        </w:rPr>
        <w:t>febrero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2013), </w:t>
      </w:r>
      <w:proofErr w:type="spellStart"/>
      <w:r>
        <w:rPr>
          <w:rFonts w:asciiTheme="minorHAnsi" w:hAnsiTheme="minorHAnsi" w:cstheme="minorHAnsi"/>
          <w:sz w:val="22"/>
          <w:szCs w:val="22"/>
        </w:rPr>
        <w:t>consultado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15 de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marzo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2014: 78. </w:t>
      </w:r>
      <w:hyperlink r:id="rId7" w:history="1">
        <w:r>
          <w:rPr>
            <w:rStyle w:val="Hipervnculo"/>
            <w:rFonts w:asciiTheme="minorHAnsi" w:hAnsiTheme="minorHAnsi" w:cstheme="minorHAnsi"/>
            <w:sz w:val="22"/>
            <w:szCs w:val="22"/>
          </w:rPr>
          <w:t>http://onlinelibrary.wiley.com/doi/10.1111/polp.12005/pdf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>
      <w:pPr>
        <w:pStyle w:val="Prrafodelista"/>
        <w:numPr>
          <w:ilvl w:val="0"/>
          <w:numId w:val="11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García Correa, "Security,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Migration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>…", 31.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Artículo de página web</w:t>
      </w:r>
    </w:p>
    <w:p>
      <w:pPr>
        <w:pStyle w:val="Prrafodelista"/>
        <w:numPr>
          <w:ilvl w:val="0"/>
          <w:numId w:val="12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Ron </w:t>
      </w:r>
      <w:proofErr w:type="spellStart"/>
      <w:r>
        <w:rPr>
          <w:rFonts w:asciiTheme="minorHAnsi" w:hAnsiTheme="minorHAnsi" w:cstheme="minorHAnsi"/>
          <w:sz w:val="22"/>
          <w:szCs w:val="22"/>
        </w:rPr>
        <w:t>Gurantz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"Look Who’s Looking", </w:t>
      </w:r>
      <w:proofErr w:type="spellStart"/>
      <w:r>
        <w:rPr>
          <w:rFonts w:asciiTheme="minorHAnsi" w:hAnsiTheme="minorHAnsi" w:cstheme="minorHAnsi"/>
          <w:sz w:val="22"/>
          <w:szCs w:val="22"/>
        </w:rPr>
        <w:t>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The Independent Institute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(sitio web)</w:t>
      </w:r>
      <w:r>
        <w:rPr>
          <w:rFonts w:asciiTheme="minorHAnsi" w:hAnsiTheme="minorHAnsi" w:cstheme="minorHAnsi"/>
          <w:sz w:val="22"/>
          <w:szCs w:val="22"/>
        </w:rPr>
        <w:t>, 22 de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octubre 2001, consultado 2 de septiembre de 2003,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http://www.independent.org/tii/news/011022Guarantz.html.</w:t>
      </w:r>
    </w:p>
    <w:p>
      <w:pPr>
        <w:pStyle w:val="Prrafodelista"/>
        <w:numPr>
          <w:ilvl w:val="0"/>
          <w:numId w:val="12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Gurantz</w:t>
      </w:r>
      <w:proofErr w:type="spellEnd"/>
      <w:r>
        <w:rPr>
          <w:rFonts w:asciiTheme="minorHAnsi" w:hAnsiTheme="minorHAnsi" w:cstheme="minorHAnsi"/>
          <w:sz w:val="22"/>
          <w:szCs w:val="22"/>
        </w:rPr>
        <w:t>, "Look Who’s Looking".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eastAsia="zh-CN" w:bidi="hi-IN"/>
        </w:rPr>
      </w:pPr>
      <w:proofErr w:type="spellStart"/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eastAsia="zh-CN" w:bidi="hi-IN"/>
        </w:rPr>
        <w:t>Tesis</w:t>
      </w:r>
      <w:proofErr w:type="spellEnd"/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eastAsia="zh-CN" w:bidi="hi-IN"/>
        </w:rPr>
        <w:t xml:space="preserve"> o </w:t>
      </w:r>
      <w:proofErr w:type="spellStart"/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eastAsia="zh-CN" w:bidi="hi-IN"/>
        </w:rPr>
        <w:t>tesina</w:t>
      </w:r>
      <w:proofErr w:type="spellEnd"/>
    </w:p>
    <w:p>
      <w:pPr>
        <w:pStyle w:val="Prrafodelista"/>
        <w:numPr>
          <w:ilvl w:val="0"/>
          <w:numId w:val="13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Francisco José Hernández Rubio, "Los límites del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eliminacionismo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>: una solución epigenética al problema mente-cerebro" (tesis doctoral, Universidad de Murcia, 2010), 145, http://hdl.handle.net/10201/17600.</w:t>
      </w:r>
    </w:p>
    <w:p>
      <w:pPr>
        <w:pStyle w:val="Prrafodelista"/>
        <w:numPr>
          <w:ilvl w:val="0"/>
          <w:numId w:val="13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Hernández Rubio, "Los límites…", 130-132.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Documento presentado en conferencia, ponencia, congreso o similar</w:t>
      </w:r>
    </w:p>
    <w:p>
      <w:pPr>
        <w:pStyle w:val="Prrafodelista"/>
        <w:numPr>
          <w:ilvl w:val="0"/>
          <w:numId w:val="14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Silvia Rodríguez Vázquez, "Flujos de traducción: herramientas de ayuda a la gestión de proyectos en función de la situación de trabajo" (conferencia, Universidad de Salamanca, 8 de noviembre de 2012).</w:t>
      </w:r>
    </w:p>
    <w:p>
      <w:pPr>
        <w:pStyle w:val="Prrafodelista"/>
        <w:numPr>
          <w:ilvl w:val="0"/>
          <w:numId w:val="14"/>
        </w:numPr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Rodríguez Vázquez, "Flujos de traducción…".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</w:p>
    <w:p>
      <w:pPr>
        <w:pStyle w:val="Prrafodelista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Grabación sonora</w:t>
      </w:r>
    </w:p>
    <w:p>
      <w:pPr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Una cita referida a una grabación (de cualquier tipo) incluye, normalmente, los siguientes elementos o, al menos, el mayor número posible de ellos: el nombre del compositor, escritor, intérprete u otro responsable primario del contenido; el título, en cursiva o entre comillas, según corresponda; el nombre de la compañía discográfica o editorial; un número de identificación de la grabación; indicación del soporte (disco compacto, casete, archivo audiovisual, etc.), y la fecha del copyright o de la producción o interpretación. Para las grabaciones consultadas en línea se debe facilitar, además, un URL o DOI.</w:t>
      </w:r>
    </w:p>
    <w:p>
      <w:pPr>
        <w:pStyle w:val="Prrafodelista"/>
        <w:numPr>
          <w:ilvl w:val="0"/>
          <w:numId w:val="15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4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Pablo Luna,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x-none"/>
        </w:rPr>
        <w:t xml:space="preserve">Los cadetes de la reina, 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José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Olaría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 y María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Puchol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, dirección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Foglietti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(Berlín: International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Talking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 Machine, 1922), 78½ rpm.</w:t>
      </w:r>
    </w:p>
    <w:p>
      <w:pPr>
        <w:pStyle w:val="Prrafodelista"/>
        <w:numPr>
          <w:ilvl w:val="0"/>
          <w:numId w:val="15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Luna,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x-none"/>
        </w:rPr>
        <w:t>Los cadetes de la reina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es-ES"/>
        </w:rPr>
        <w:t>.</w:t>
      </w:r>
    </w:p>
    <w:p>
      <w:pPr>
        <w:pStyle w:val="Prrafodelista"/>
        <w:spacing w:after="0" w:line="240" w:lineRule="auto"/>
        <w:ind w:left="0"/>
        <w:jc w:val="left"/>
        <w:rPr>
          <w:rFonts w:asciiTheme="minorHAnsi" w:hAnsiTheme="minorHAnsi" w:cstheme="minorHAnsi"/>
          <w:i/>
          <w:sz w:val="22"/>
          <w:szCs w:val="22"/>
          <w:lang w:val="es-ES"/>
        </w:rPr>
      </w:pPr>
    </w:p>
    <w:p>
      <w:pPr>
        <w:pStyle w:val="Didefault"/>
        <w:rPr>
          <w:rFonts w:asciiTheme="minorHAnsi" w:hAnsiTheme="minorHAnsi" w:cstheme="minorHAnsi"/>
          <w:b/>
          <w:iCs/>
          <w:color w:val="auto"/>
        </w:rPr>
      </w:pPr>
      <w:r>
        <w:rPr>
          <w:rFonts w:asciiTheme="minorHAnsi" w:hAnsiTheme="minorHAnsi" w:cstheme="minorHAnsi"/>
          <w:b/>
          <w:iCs/>
          <w:color w:val="auto"/>
        </w:rPr>
        <w:t>Grabacion de imagen</w:t>
      </w:r>
    </w:p>
    <w:p>
      <w:pPr>
        <w:pStyle w:val="Prrafodelista"/>
        <w:numPr>
          <w:ilvl w:val="0"/>
          <w:numId w:val="16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924"/>
        <w:jc w:val="lef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Pilar Miró,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x-none"/>
        </w:rPr>
        <w:t xml:space="preserve">El pájaro de la felicidad 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(Madrid: Divisa Home Video, 1993), videocasete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(VHS), 122 min.</w:t>
      </w:r>
    </w:p>
    <w:p>
      <w:pPr>
        <w:pStyle w:val="Prrafodelista"/>
        <w:numPr>
          <w:ilvl w:val="0"/>
          <w:numId w:val="16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Miró,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x-none"/>
        </w:rPr>
        <w:t>El pájaro de la felicidad.</w:t>
      </w: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it-IT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it-IT" w:eastAsia="zh-CN" w:bidi="hi-IN"/>
        </w:rPr>
        <w:t xml:space="preserve">Multimedia en </w:t>
      </w:r>
      <w:proofErr w:type="spellStart"/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it-IT" w:eastAsia="zh-CN" w:bidi="hi-IN"/>
        </w:rPr>
        <w:t>línea</w:t>
      </w:r>
      <w:proofErr w:type="spellEnd"/>
    </w:p>
    <w:p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924"/>
        <w:jc w:val="lef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lastRenderedPageBreak/>
        <w:t xml:space="preserve">Fernando López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Heptener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>"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Por tierras de Zamora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>"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, documental rodado en 1933, video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en YouTube, 10:36, 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>consultado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 13 de septiembre de 2011,</w:t>
      </w: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924"/>
        <w:jc w:val="lef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http://www.youtube.com/watch?v=PRCjvDgyrBQ.</w:t>
      </w:r>
    </w:p>
    <w:p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López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Heptener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>"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Por tierras de Zamora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>".</w:t>
      </w: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left"/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</w:pPr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Entrada de diccionario/</w:t>
      </w:r>
      <w:proofErr w:type="gramStart"/>
      <w:r>
        <w:rPr>
          <w:rFonts w:asciiTheme="minorHAnsi" w:eastAsia="Arial Unicode MS" w:hAnsiTheme="minorHAnsi" w:cstheme="minorHAnsi"/>
          <w:b/>
          <w:iCs/>
          <w:kern w:val="2"/>
          <w:sz w:val="22"/>
          <w:szCs w:val="22"/>
          <w:u w:color="000000"/>
          <w:lang w:val="es-ES" w:eastAsia="zh-CN" w:bidi="hi-IN"/>
        </w:rPr>
        <w:t>enciclopedia electrónico</w:t>
      </w:r>
      <w:proofErr w:type="gramEnd"/>
    </w:p>
    <w:p>
      <w:pPr>
        <w:rPr>
          <w:rFonts w:asciiTheme="minorHAnsi" w:hAnsiTheme="minorHAnsi" w:cstheme="minorHAnsi"/>
          <w:i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Se emplea la fórmula s.v. (sub verbo) antes de indicar la palabra buscada. Esta se escribe entre comillas.</w:t>
      </w:r>
    </w:p>
    <w:p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924"/>
        <w:jc w:val="lef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  <w:lang w:val="x-none"/>
        </w:rPr>
        <w:t>Encyclopaedia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  <w:lang w:val="x-none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  <w:lang w:val="x-none"/>
        </w:rPr>
        <w:t>Britannica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  <w:lang w:val="x-none"/>
        </w:rPr>
        <w:t xml:space="preserve"> Online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, s.v. 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>"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Suez Crisis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>",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 consultado 18 de julio de 2014,</w:t>
      </w:r>
      <w:r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x-none"/>
        </w:rPr>
        <w:t>http:// http://www.britannica.com/EBchecked/topic/571713/Suez-Crisis.</w:t>
      </w:r>
    </w:p>
    <w:p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Encyclopaedia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Britannica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 Online</w:t>
      </w:r>
      <w:r>
        <w:rPr>
          <w:rFonts w:asciiTheme="minorHAnsi" w:hAnsiTheme="minorHAnsi" w:cstheme="minorHAnsi"/>
          <w:sz w:val="22"/>
          <w:szCs w:val="22"/>
          <w:lang w:val="es-ES"/>
        </w:rPr>
        <w:t>, s.v. "Suez Crisis".</w:t>
      </w:r>
    </w:p>
    <w:p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>
      <w:pPr>
        <w:pStyle w:val="Didefault"/>
        <w:rPr>
          <w:rFonts w:asciiTheme="minorHAnsi" w:hAnsiTheme="minorHAnsi" w:cstheme="minorHAnsi"/>
          <w:b/>
          <w:iCs/>
          <w:color w:val="auto"/>
          <w:lang w:val="es-ES"/>
        </w:rPr>
      </w:pPr>
      <w:r>
        <w:rPr>
          <w:rFonts w:asciiTheme="minorHAnsi" w:hAnsiTheme="minorHAnsi" w:cstheme="minorHAnsi"/>
          <w:b/>
          <w:iCs/>
          <w:color w:val="auto"/>
          <w:lang w:val="es-ES"/>
        </w:rPr>
        <w:t xml:space="preserve">Entrada de blog, tweet o </w:t>
      </w:r>
      <w:proofErr w:type="spellStart"/>
      <w:r>
        <w:rPr>
          <w:rFonts w:asciiTheme="minorHAnsi" w:hAnsiTheme="minorHAnsi" w:cstheme="minorHAnsi"/>
          <w:b/>
          <w:iCs/>
          <w:color w:val="auto"/>
          <w:lang w:val="es-ES"/>
        </w:rPr>
        <w:t>facebook</w:t>
      </w:r>
      <w:proofErr w:type="spellEnd"/>
    </w:p>
    <w:p>
      <w:pPr>
        <w:rPr>
          <w:rFonts w:asciiTheme="minorHAnsi" w:hAnsiTheme="minorHAnsi" w:cstheme="minorHAnsi"/>
          <w:color w:val="7F7F7F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7F7F7F"/>
          <w:sz w:val="22"/>
          <w:szCs w:val="22"/>
          <w:lang w:val="es-ES"/>
        </w:rPr>
        <w:t>Se debe indicar el nombre o seudónimo del autor/a, la fecha y hora de consulta, el título o contenido (si es largo, solo las primeras palabras seguidas de puntos suspensivos) del artículo/comentario, el nombre del blog, la fecha de posteo y el vínculo.</w:t>
      </w:r>
    </w:p>
    <w:p>
      <w:pPr>
        <w:pStyle w:val="Prrafodelista"/>
        <w:numPr>
          <w:ilvl w:val="0"/>
          <w:numId w:val="19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completa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José Luis Ramírez, 17 de marzo de 2012 (21:28), comentario "Hacer los deberes", 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>Blog de Lengua española</w:t>
      </w:r>
      <w:r>
        <w:rPr>
          <w:rFonts w:asciiTheme="minorHAnsi" w:hAnsiTheme="minorHAnsi" w:cstheme="minorHAnsi"/>
          <w:sz w:val="22"/>
          <w:szCs w:val="22"/>
          <w:lang w:val="es-ES"/>
        </w:rPr>
        <w:t>, 13 de marzo de 2012, http://blog.lengua-e.com/2012/hacerlos-deberes/#comments.</w:t>
      </w:r>
    </w:p>
    <w:p>
      <w:pPr>
        <w:pStyle w:val="Prrafodelista"/>
        <w:numPr>
          <w:ilvl w:val="0"/>
          <w:numId w:val="19"/>
        </w:numPr>
        <w:spacing w:after="0" w:line="240" w:lineRule="auto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u w:val="single"/>
          <w:lang w:val="es-ES"/>
        </w:rPr>
        <w:t>referencia abreviada en nota a pie de página:</w:t>
      </w:r>
    </w:p>
    <w:p>
      <w:pPr>
        <w:pStyle w:val="Prrafodelista"/>
        <w:spacing w:after="0" w:line="240" w:lineRule="auto"/>
        <w:ind w:left="927"/>
        <w:jc w:val="left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Ramírez, "Hacer los deberes".</w:t>
      </w:r>
    </w:p>
    <w:p>
      <w:pPr>
        <w:pStyle w:val="Didefault"/>
        <w:rPr>
          <w:rFonts w:asciiTheme="minorHAnsi" w:hAnsiTheme="minorHAnsi" w:cstheme="minorHAnsi"/>
          <w:b/>
          <w:iCs/>
          <w:color w:val="C5A95B"/>
          <w:lang w:val="es-ES"/>
        </w:rPr>
      </w:pPr>
    </w:p>
    <w:p>
      <w:pPr>
        <w:pStyle w:val="Didefault"/>
        <w:rPr>
          <w:rFonts w:asciiTheme="minorHAnsi" w:hAnsiTheme="minorHAnsi" w:cstheme="minorHAnsi"/>
          <w:b/>
          <w:iCs/>
          <w:color w:val="C5A95B"/>
          <w:lang w:val="es-ES"/>
        </w:rPr>
      </w:pPr>
    </w:p>
    <w:p>
      <w:pPr>
        <w:pStyle w:val="Didefault"/>
        <w:rPr>
          <w:rFonts w:asciiTheme="minorHAnsi" w:hAnsiTheme="minorHAnsi" w:cstheme="minorHAnsi"/>
          <w:b/>
          <w:iCs/>
          <w:color w:val="C5A95B"/>
          <w:lang w:val="es-ES"/>
        </w:rPr>
      </w:pPr>
    </w:p>
    <w:p>
      <w:pPr>
        <w:pStyle w:val="Didefault"/>
        <w:rPr>
          <w:rFonts w:asciiTheme="minorHAnsi" w:hAnsiTheme="minorHAnsi" w:cstheme="minorHAnsi"/>
          <w:b/>
          <w:iCs/>
          <w:color w:val="auto"/>
          <w:lang w:val="es-ES"/>
        </w:rPr>
      </w:pPr>
      <w:r>
        <w:rPr>
          <w:rFonts w:asciiTheme="minorHAnsi" w:hAnsiTheme="minorHAnsi" w:cstheme="minorHAnsi"/>
          <w:b/>
          <w:iCs/>
          <w:color w:val="auto"/>
          <w:lang w:val="es-ES"/>
        </w:rPr>
        <w:t>Notas adicionales</w:t>
      </w:r>
    </w:p>
    <w:p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Normalmente, los nombres de los autores se deben incluir como aparecen en la obra consultada. Algunas obras no especifican los nombres de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  <w:lang w:val="es-ES"/>
        </w:rPr>
        <w:t>pila de los autores y solo presentan iniciales, por lo que no es necesario investigar el nombre completo.</w:t>
      </w:r>
    </w:p>
    <w:p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Los títulos y subtítulos en español solo llevan inicial mayúscula en la primera palabra y en los nombres propios. Los títulos y subtítulos en inglés llevan inicial mayúscula en todas las palabras, exceptuando las preposiciones (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in,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on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by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>, at,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etc.), artículos (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a,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an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>) y las conjunciones coordinadas (</w:t>
      </w:r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and,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but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or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nor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for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>, as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). La información de las publicaciones en inglés (lugar de publicación, mes o estación del año) se debe escribir en español si el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paper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está escrito en español. En el caso de ciudades cuyo nombre no tiene traducción, se escribirá el nombre en el idioma original. Para referenciar publicaciones en idiomas distintos al español e inglés, se atenderá a lo recogido en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The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 Chicago Manual </w:t>
      </w:r>
      <w:proofErr w:type="spellStart"/>
      <w:r>
        <w:rPr>
          <w:rFonts w:asciiTheme="minorHAnsi" w:hAnsiTheme="minorHAnsi" w:cstheme="minorHAnsi"/>
          <w:i/>
          <w:sz w:val="22"/>
          <w:szCs w:val="22"/>
          <w:lang w:val="es-ES"/>
        </w:rPr>
        <w:t>of</w:t>
      </w:r>
      <w:proofErr w:type="spellEnd"/>
      <w:r>
        <w:rPr>
          <w:rFonts w:asciiTheme="minorHAnsi" w:hAnsiTheme="minorHAnsi" w:cstheme="minorHAnsi"/>
          <w:i/>
          <w:sz w:val="22"/>
          <w:szCs w:val="22"/>
          <w:lang w:val="es-ES"/>
        </w:rPr>
        <w:t xml:space="preserve"> Style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(17ª edición).</w:t>
      </w:r>
    </w:p>
    <w:p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Los títulos principales (por ejemplo, libros y revistas) se escriben siempre en cursiva; los títulos secundarios (por ejemplo, capítulos y artículos) o de trabajos inéditos se presentan siempre en redonda y entre comillas altas (" "). </w:t>
      </w:r>
    </w:p>
    <w:p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Si se desconoce el lugar de la publicación, se empleará la abreviatura s. l.</w:t>
      </w:r>
    </w:p>
    <w:p>
      <w:pPr>
        <w:ind w:firstLine="720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Si se desconoce la fecha de publicación, se empleará la abreviatura s. f.</w:t>
      </w:r>
    </w:p>
    <w:p>
      <w:pPr>
        <w:pStyle w:val="Didefault"/>
        <w:ind w:firstLine="720"/>
        <w:rPr>
          <w:rFonts w:asciiTheme="minorHAnsi" w:hAnsiTheme="minorHAnsi" w:cstheme="minorHAnsi"/>
          <w:color w:val="auto"/>
          <w:lang w:val="es-ES"/>
        </w:rPr>
      </w:pPr>
      <w:r>
        <w:rPr>
          <w:rFonts w:asciiTheme="minorHAnsi" w:hAnsiTheme="minorHAnsi" w:cstheme="minorHAnsi"/>
          <w:color w:val="auto"/>
          <w:lang w:val="es-ES"/>
        </w:rPr>
        <w:t>Si se desconoce el editor, se registrarán únicamente el lugar y la fecha.</w:t>
      </w:r>
    </w:p>
    <w:sectPr>
      <w:headerReference w:type="even" r:id="rId8"/>
      <w:headerReference w:type="default" r:id="rId9"/>
      <w:headerReference w:type="first" r:id="rId10"/>
      <w:pgSz w:w="11907" w:h="16840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icrosoft YaHei"/>
    <w:panose1 w:val="02000603040000090004"/>
    <w:charset w:val="CC"/>
    <w:family w:val="auto"/>
    <w:pitch w:val="variable"/>
    <w:sig w:usb0="8000020B" w:usb1="10000048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ncabezado"/>
      <w:rPr>
        <w:rFonts w:asciiTheme="minorHAnsi" w:hAnsiTheme="minorHAnsi" w:cstheme="minorHAnsi"/>
        <w:color w:val="FFA200"/>
      </w:rPr>
    </w:pPr>
    <w:r>
      <w:rPr>
        <w:rFonts w:asciiTheme="minorHAnsi" w:hAnsiTheme="minorHAnsi" w:cstheme="minorHAnsi"/>
        <w:iCs/>
        <w:color w:val="FFA200"/>
        <w:sz w:val="18"/>
        <w:szCs w:val="18"/>
        <w:lang w:val="es-ES_tradnl"/>
      </w:rPr>
      <w:t xml:space="preserve">Manual estilo </w:t>
    </w:r>
    <w:proofErr w:type="spellStart"/>
    <w:r>
      <w:rPr>
        <w:rFonts w:asciiTheme="minorHAnsi" w:hAnsiTheme="minorHAnsi" w:cstheme="minorHAnsi"/>
        <w:iCs/>
        <w:color w:val="FFA200"/>
        <w:sz w:val="18"/>
        <w:szCs w:val="18"/>
        <w:lang w:val="es-ES_tradnl"/>
      </w:rPr>
      <w:t>Chicago_ejemplos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Didefault"/>
      <w:jc w:val="right"/>
      <w:rPr>
        <w:rFonts w:asciiTheme="minorHAnsi" w:hAnsiTheme="minorHAnsi" w:cstheme="minorHAnsi"/>
        <w:iCs/>
        <w:color w:val="EDB413"/>
        <w:sz w:val="18"/>
        <w:szCs w:val="18"/>
        <w:lang w:val="es-ES_tradnl"/>
      </w:rPr>
    </w:pPr>
    <w:r>
      <w:rPr>
        <w:rFonts w:asciiTheme="minorHAnsi" w:hAnsiTheme="minorHAnsi" w:cstheme="minorHAnsi"/>
        <w:iCs/>
        <w:color w:val="EDB413"/>
        <w:sz w:val="18"/>
        <w:szCs w:val="18"/>
        <w:lang w:val="es-ES_tradnl"/>
      </w:rPr>
      <w:t xml:space="preserve">IV Congreso Internacional Cultura y Ciudad </w:t>
    </w:r>
  </w:p>
  <w:p>
    <w:pPr>
      <w:pStyle w:val="Didefault"/>
      <w:jc w:val="right"/>
      <w:rPr>
        <w:rFonts w:asciiTheme="minorHAnsi" w:hAnsiTheme="minorHAnsi" w:cstheme="minorHAnsi"/>
        <w:b/>
        <w:iCs/>
        <w:color w:val="E6A21A"/>
        <w:sz w:val="18"/>
        <w:szCs w:val="18"/>
        <w:lang w:val="es-ES_tradnl"/>
      </w:rPr>
    </w:pPr>
    <w:r>
      <w:rPr>
        <w:rFonts w:asciiTheme="minorHAnsi" w:hAnsiTheme="minorHAnsi" w:cstheme="minorHAnsi"/>
        <w:b/>
        <w:iCs/>
        <w:color w:val="E6A21A"/>
        <w:sz w:val="18"/>
        <w:szCs w:val="18"/>
        <w:lang w:val="es-ES_tradnl"/>
      </w:rPr>
      <w:t>Comunicar la arquitectura: del origen de la modernidad a la era digital</w:t>
    </w:r>
  </w:p>
  <w:p>
    <w:pPr>
      <w:pStyle w:val="Didefault"/>
      <w:jc w:val="right"/>
      <w:rPr>
        <w:rFonts w:asciiTheme="minorHAnsi" w:hAnsiTheme="minorHAnsi" w:cstheme="minorHAnsi"/>
        <w:iCs/>
        <w:color w:val="EDB413"/>
        <w:sz w:val="18"/>
        <w:szCs w:val="18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Didefault"/>
      <w:jc w:val="right"/>
      <w:rPr>
        <w:rFonts w:asciiTheme="minorHAnsi" w:hAnsiTheme="minorHAnsi" w:cstheme="minorHAnsi"/>
        <w:iCs/>
        <w:color w:val="FFA200"/>
        <w:sz w:val="18"/>
        <w:szCs w:val="18"/>
        <w:lang w:val="es-ES_tradnl"/>
      </w:rPr>
    </w:pPr>
    <w:r>
      <w:rPr>
        <w:rFonts w:asciiTheme="minorHAnsi" w:hAnsiTheme="minorHAnsi" w:cstheme="minorHAnsi"/>
        <w:iCs/>
        <w:noProof/>
        <w:color w:val="E6A21A"/>
        <w:sz w:val="18"/>
        <w:szCs w:val="18"/>
        <w:lang w:val="es-ES_trad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34711</wp:posOffset>
          </wp:positionH>
          <wp:positionV relativeFrom="paragraph">
            <wp:posOffset>-4942</wp:posOffset>
          </wp:positionV>
          <wp:extent cx="1105415" cy="399600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5415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iCs/>
        <w:color w:val="E6A21A"/>
        <w:sz w:val="18"/>
        <w:szCs w:val="18"/>
        <w:lang w:val="es-ES_tradnl"/>
      </w:rPr>
      <w:t xml:space="preserve"> </w:t>
    </w:r>
    <w:r>
      <w:rPr>
        <w:rFonts w:asciiTheme="minorHAnsi" w:hAnsiTheme="minorHAnsi" w:cstheme="minorHAnsi"/>
        <w:iCs/>
        <w:color w:val="FFA200"/>
        <w:sz w:val="18"/>
        <w:szCs w:val="18"/>
        <w:lang w:val="es-ES_tradnl"/>
      </w:rPr>
      <w:t xml:space="preserve">V Congreso Internacional Cultura y Ciudad </w:t>
    </w:r>
  </w:p>
  <w:p>
    <w:pPr>
      <w:pStyle w:val="Didefault"/>
      <w:jc w:val="right"/>
      <w:rPr>
        <w:rFonts w:asciiTheme="minorHAnsi" w:hAnsiTheme="minorHAnsi" w:cstheme="minorHAnsi"/>
        <w:b/>
        <w:iCs/>
        <w:color w:val="FFA200"/>
        <w:sz w:val="18"/>
        <w:szCs w:val="18"/>
        <w:lang w:val="es-ES_tradnl"/>
      </w:rPr>
    </w:pPr>
    <w:r>
      <w:rPr>
        <w:rFonts w:asciiTheme="minorHAnsi" w:hAnsiTheme="minorHAnsi" w:cstheme="minorHAnsi"/>
        <w:b/>
        <w:iCs/>
        <w:color w:val="FFA200"/>
        <w:sz w:val="18"/>
        <w:szCs w:val="18"/>
        <w:lang w:val="es-ES_tradnl"/>
      </w:rPr>
      <w:t>Comida y arquitectura: casa, calle, territorio</w:t>
    </w:r>
  </w:p>
  <w:p>
    <w:pPr>
      <w:pStyle w:val="Didefault"/>
      <w:jc w:val="right"/>
      <w:rPr>
        <w:rFonts w:asciiTheme="minorHAnsi" w:hAnsiTheme="minorHAnsi" w:cstheme="minorHAnsi"/>
        <w:iCs/>
        <w:color w:val="FFA200"/>
        <w:sz w:val="18"/>
        <w:szCs w:val="18"/>
        <w:lang w:val="es-ES_tradnl"/>
      </w:rPr>
    </w:pPr>
    <w:r>
      <w:rPr>
        <w:rFonts w:asciiTheme="minorHAnsi" w:hAnsiTheme="minorHAnsi" w:cstheme="minorHAnsi"/>
        <w:iCs/>
        <w:color w:val="FFA200"/>
        <w:sz w:val="18"/>
        <w:szCs w:val="18"/>
        <w:lang w:val="es-ES_tradnl"/>
      </w:rPr>
      <w:t>Granada, Escuela Técnica Superior de Arquitectura, 16-18 junio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3DC1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201617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CC7DD2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C402AE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135EA6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9A7FD4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2B570F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37381A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773044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F555D7"/>
    <w:multiLevelType w:val="hybridMultilevel"/>
    <w:tmpl w:val="A3F223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C7277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057B50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5762A5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6B3B48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4236BB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7E5834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E61EB5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3AD0C88"/>
    <w:multiLevelType w:val="hybridMultilevel"/>
    <w:tmpl w:val="F886C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9DB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B3721A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E027CC"/>
    <w:multiLevelType w:val="hybridMultilevel"/>
    <w:tmpl w:val="EABE10C4"/>
    <w:lvl w:ilvl="0" w:tplc="CF08DB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9"/>
  </w:num>
  <w:num w:numId="5">
    <w:abstractNumId w:val="15"/>
  </w:num>
  <w:num w:numId="6">
    <w:abstractNumId w:val="2"/>
  </w:num>
  <w:num w:numId="7">
    <w:abstractNumId w:val="11"/>
  </w:num>
  <w:num w:numId="8">
    <w:abstractNumId w:val="7"/>
  </w:num>
  <w:num w:numId="9">
    <w:abstractNumId w:val="18"/>
  </w:num>
  <w:num w:numId="10">
    <w:abstractNumId w:val="6"/>
  </w:num>
  <w:num w:numId="11">
    <w:abstractNumId w:val="12"/>
  </w:num>
  <w:num w:numId="12">
    <w:abstractNumId w:val="16"/>
  </w:num>
  <w:num w:numId="13">
    <w:abstractNumId w:val="5"/>
  </w:num>
  <w:num w:numId="14">
    <w:abstractNumId w:val="3"/>
  </w:num>
  <w:num w:numId="15">
    <w:abstractNumId w:val="1"/>
  </w:num>
  <w:num w:numId="16">
    <w:abstractNumId w:val="4"/>
  </w:num>
  <w:num w:numId="17">
    <w:abstractNumId w:val="14"/>
  </w:num>
  <w:num w:numId="18">
    <w:abstractNumId w:val="8"/>
  </w:num>
  <w:num w:numId="19">
    <w:abstractNumId w:val="20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wtTS2sDA3tDA1tjRS0lEKTi0uzszPAykwrAUAYG7NFi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u w:val="single"/>
    </w:rPr>
  </w:style>
  <w:style w:type="character" w:customStyle="1" w:styleId="Nessuno">
    <w:name w:val="Nessuno"/>
  </w:style>
  <w:style w:type="character" w:customStyle="1" w:styleId="Hyperlink0">
    <w:name w:val="Hyperlink.0"/>
    <w:rPr>
      <w:rFonts w:ascii="Garamond" w:eastAsia="Garamond" w:hAnsi="Garamond" w:cs="Garamond"/>
      <w:sz w:val="24"/>
      <w:szCs w:val="24"/>
      <w:u w:val="single"/>
      <w:lang w:val="it-IT"/>
    </w:rPr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">
    <w:name w:val="Caracteres de nota final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Intestazioneepidipagina">
    <w:name w:val="Intestazione e piè di pagina"/>
    <w:rPr>
      <w:rFonts w:ascii="Helvetica Neue" w:eastAsia="Arial Unicode MS" w:hAnsi="Helvetica Neue" w:cs="Arial Unicode MS"/>
      <w:color w:val="000000"/>
      <w:sz w:val="24"/>
      <w:szCs w:val="24"/>
      <w:lang w:val="en-GB" w:eastAsia="zh-CN" w:bidi="hi-IN"/>
    </w:rPr>
  </w:style>
  <w:style w:type="paragraph" w:customStyle="1" w:styleId="Didefault">
    <w:name w:val="Di default"/>
    <w:rPr>
      <w:rFonts w:ascii="Helvetica Neue" w:eastAsia="Arial Unicode MS" w:hAnsi="Helvetica Neue" w:cs="Arial Unicode MS"/>
      <w:color w:val="000000"/>
      <w:kern w:val="2"/>
      <w:sz w:val="22"/>
      <w:szCs w:val="22"/>
      <w:u w:color="000000"/>
      <w:lang w:val="it-IT" w:eastAsia="zh-CN" w:bidi="hi-IN"/>
    </w:rPr>
  </w:style>
  <w:style w:type="paragraph" w:customStyle="1" w:styleId="Notaapidipagina">
    <w:name w:val="Nota a piè di pagina"/>
    <w:rPr>
      <w:rFonts w:ascii="Helvetica Neue" w:eastAsia="Helvetica Neue" w:hAnsi="Helvetica Neue" w:cs="Helvetica Neue"/>
      <w:color w:val="000000"/>
      <w:kern w:val="2"/>
      <w:sz w:val="22"/>
      <w:szCs w:val="22"/>
      <w:u w:color="000000"/>
      <w:lang w:val="it-IT" w:eastAsia="zh-CN" w:bidi="hi-IN"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Mencinsinresolver1">
    <w:name w:val="Mención sin resolver1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pPr>
      <w:suppressAutoHyphens w:val="0"/>
      <w:spacing w:after="120" w:line="288" w:lineRule="auto"/>
      <w:ind w:left="720"/>
      <w:contextualSpacing/>
      <w:jc w:val="both"/>
    </w:pPr>
    <w:rPr>
      <w:rFonts w:ascii="Arial" w:hAnsi="Arial"/>
      <w:sz w:val="20"/>
      <w:szCs w:val="20"/>
      <w:lang w:eastAsia="es-ES"/>
    </w:rPr>
  </w:style>
  <w:style w:type="character" w:customStyle="1" w:styleId="PiedepginaCar">
    <w:name w:val="Pie de página Car"/>
    <w:link w:val="Piedepgina"/>
    <w:uiPriority w:val="99"/>
    <w:rPr>
      <w:sz w:val="24"/>
      <w:szCs w:val="24"/>
      <w:lang w:val="en-US" w:eastAsia="zh-CN"/>
    </w:rPr>
  </w:style>
  <w:style w:type="character" w:customStyle="1" w:styleId="EncabezadoCar">
    <w:name w:val="Encabezado Car"/>
    <w:link w:val="Encabezado"/>
    <w:uiPriority w:val="99"/>
    <w:rPr>
      <w:sz w:val="24"/>
      <w:szCs w:val="24"/>
      <w:lang w:val="en-U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nlinelibrary.wiley.com/doi/10.1111/polp.12005/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Links>
    <vt:vector size="12" baseType="variant">
      <vt:variant>
        <vt:i4>5308526</vt:i4>
      </vt:variant>
      <vt:variant>
        <vt:i4>3</vt:i4>
      </vt:variant>
      <vt:variant>
        <vt:i4>0</vt:i4>
      </vt:variant>
      <vt:variant>
        <vt:i4>5</vt:i4>
      </vt:variant>
      <vt:variant>
        <vt:lpwstr>mailto:congresso@storiaurbana.org</vt:lpwstr>
      </vt:variant>
      <vt:variant>
        <vt:lpwstr/>
      </vt:variant>
      <vt:variant>
        <vt:i4>11</vt:i4>
      </vt:variant>
      <vt:variant>
        <vt:i4>0</vt:i4>
      </vt:variant>
      <vt:variant>
        <vt:i4>0</vt:i4>
      </vt:variant>
      <vt:variant>
        <vt:i4>5</vt:i4>
      </vt:variant>
      <vt:variant>
        <vt:lpwstr>http://hdl.handle.net/10481/55336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2023-01-24T14:27:00Z</dcterms:created>
  <dcterms:modified xsi:type="dcterms:W3CDTF">2024-10-30T18:35:00Z</dcterms:modified>
</cp:coreProperties>
</file>